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 </w:t>
      </w:r>
    </w:p>
    <w:p w14:paraId="02000000">
      <w:pPr>
        <w:ind/>
        <w:jc w:val="center"/>
        <w:rPr>
          <w:sz w:val="28"/>
        </w:rPr>
      </w:pPr>
      <w:r>
        <w:rPr>
          <w:b w:val="1"/>
          <w:i w:val="1"/>
          <w:sz w:val="28"/>
        </w:rPr>
        <w:t>О приёме документов для государственной регистрации</w:t>
      </w:r>
      <w:r>
        <w:rPr>
          <w:b w:val="1"/>
          <w:i w:val="1"/>
          <w:sz w:val="28"/>
        </w:rPr>
        <w:t xml:space="preserve"> в электронном виде</w:t>
      </w:r>
      <w:r>
        <w:rPr>
          <w:b w:val="1"/>
          <w:i w:val="1"/>
          <w:sz w:val="28"/>
        </w:rPr>
        <w:t>:</w:t>
      </w:r>
    </w:p>
    <w:p w14:paraId="03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>Документы для государственной регистрации могут быть представлены:</w:t>
      </w:r>
    </w:p>
    <w:p w14:paraId="04000000">
      <w:pPr>
        <w:spacing w:after="0" w:line="240" w:lineRule="auto"/>
        <w:ind/>
        <w:jc w:val="both"/>
        <w:rPr>
          <w:b w:val="1"/>
          <w:i w:val="1"/>
          <w:sz w:val="28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b w:val="1"/>
          <w:i w:val="1"/>
          <w:sz w:val="28"/>
        </w:rPr>
        <w:t>В электронном виде:</w:t>
      </w:r>
    </w:p>
    <w:p w14:paraId="05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 xml:space="preserve">-  с использованием сети Интернет и сайта УФНС России: www.nalog.ru,  </w:t>
      </w:r>
    </w:p>
    <w:p w14:paraId="06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 xml:space="preserve">- через нотариусов, </w:t>
      </w:r>
    </w:p>
    <w:p w14:paraId="07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>- через многофункционал</w:t>
      </w:r>
      <w:bookmarkStart w:id="1" w:name="_GoBack"/>
      <w:bookmarkEnd w:id="1"/>
      <w:r>
        <w:rPr>
          <w:sz w:val="28"/>
        </w:rPr>
        <w:t>ьные центры, расположенные в районах Забайкальского края</w:t>
      </w:r>
    </w:p>
    <w:p w14:paraId="08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>Обращаем внимание,  что с 01.01.2019 г. государственная пошлина не уплачивается за совершение юридически значимых действий, предусмотренных подпунктами 1,3,6 п.1 и 7 статьи 333.33 Кодекса, в случае направления в регистрирующий орган документов, на государственную регистрацию в электронном  виде самим заявителем, а так же через многофункциональные центры и нотариуса.</w:t>
      </w:r>
    </w:p>
    <w:p w14:paraId="09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>Данная позиция по реализации положений Федерального закона от 29 июля 2018 года № 234-ФЗ «О внесении изменения в статью 33335 части второй Налогового кодекса Российской Федерации» доведена Министерством финансов Российской Федерации до ФНС России письмом от 28 августа 2018 года  № 03-05-04-03/61166).</w:t>
      </w:r>
    </w:p>
    <w:p w14:paraId="0A000000">
      <w:pPr>
        <w:spacing w:after="0" w:line="240" w:lineRule="auto"/>
        <w:ind/>
        <w:jc w:val="both"/>
        <w:rPr>
          <w:b w:val="1"/>
          <w:i w:val="1"/>
          <w:sz w:val="28"/>
        </w:rPr>
      </w:pPr>
      <w:r>
        <w:rPr>
          <w:sz w:val="28"/>
        </w:rPr>
        <w:tab/>
      </w:r>
      <w:r>
        <w:rPr>
          <w:b w:val="1"/>
          <w:i w:val="1"/>
          <w:sz w:val="28"/>
        </w:rPr>
        <w:t>На бумажном носителе:</w:t>
      </w:r>
    </w:p>
    <w:p w14:paraId="0B000000">
      <w:pPr>
        <w:spacing w:after="0" w:line="240" w:lineRule="auto"/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С 09.01.2019 г. приём документов для государственной регистрации юридических лиц и индивидуальных предпринимателей, местонахождение и место жительства которых </w:t>
      </w:r>
      <w:r>
        <w:rPr>
          <w:b w:val="1"/>
          <w:i w:val="1"/>
          <w:sz w:val="28"/>
        </w:rPr>
        <w:t>находится на территории Забайкальского края осуществляется</w:t>
      </w:r>
    </w:p>
    <w:p w14:paraId="0C000000">
      <w:pPr>
        <w:spacing w:after="0" w:line="240" w:lineRule="auto"/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Единым регистрационным отделом Межрайонной ИФНС России № 2 по г. Чите.</w:t>
      </w:r>
    </w:p>
    <w:p w14:paraId="0D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 xml:space="preserve">- лично по адресу: г. Чита, ул. </w:t>
      </w:r>
      <w:r>
        <w:rPr>
          <w:sz w:val="28"/>
        </w:rPr>
        <w:t>Бутина</w:t>
      </w:r>
      <w:r>
        <w:rPr>
          <w:sz w:val="28"/>
        </w:rPr>
        <w:t>, 10, 2 этаж, операционный зал, окно №12,13;</w:t>
      </w:r>
    </w:p>
    <w:p w14:paraId="0E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 xml:space="preserve"> - почтовым отправлением в адрес инспекции: 672000, </w:t>
      </w:r>
      <w:r>
        <w:rPr>
          <w:sz w:val="28"/>
        </w:rPr>
        <w:t xml:space="preserve">г. Чита, ул. </w:t>
      </w:r>
      <w:r>
        <w:rPr>
          <w:sz w:val="28"/>
        </w:rPr>
        <w:t>Бутина</w:t>
      </w:r>
      <w:r>
        <w:rPr>
          <w:sz w:val="28"/>
        </w:rPr>
        <w:t>, 10, пом. 1</w:t>
      </w:r>
    </w:p>
    <w:p w14:paraId="0F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>Порядок и сроки предоставления, выдачи документов осуществляются в рамках действующего законодательства.</w:t>
      </w:r>
    </w:p>
    <w:p w14:paraId="10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>Контактные телефоны:</w:t>
      </w:r>
    </w:p>
    <w:p w14:paraId="11000000">
      <w:pPr>
        <w:spacing w:after="0" w:line="240" w:lineRule="auto"/>
        <w:ind/>
        <w:jc w:val="both"/>
        <w:rPr>
          <w:sz w:val="28"/>
        </w:rPr>
      </w:pPr>
      <w:r>
        <w:rPr>
          <w:sz w:val="28"/>
        </w:rPr>
        <w:t>- (3022) 35-59-11, 35-97-24 - отдел регистрации, ведения реестров и обработки данных Межрайонной ИФНС России № 2 по г. Чите</w:t>
      </w:r>
    </w:p>
    <w:sectPr>
      <w:pgSz w:h="16838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