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A5" w:rsidRDefault="00405524" w:rsidP="00AF118A">
      <w:r>
        <w:t xml:space="preserve"> </w:t>
      </w:r>
      <w:r w:rsidR="00D90FDB">
        <w:t xml:space="preserve">                                                             </w:t>
      </w:r>
      <w:r w:rsidR="00D60EA5">
        <w:t xml:space="preserve">  </w:t>
      </w:r>
    </w:p>
    <w:p w:rsidR="00D60EA5" w:rsidRDefault="00D60EA5" w:rsidP="00AF118A">
      <w:pPr>
        <w:rPr>
          <w:noProof/>
          <w:lang w:eastAsia="ru-RU"/>
        </w:rPr>
      </w:pPr>
    </w:p>
    <w:p w:rsidR="00AF118A" w:rsidRPr="003742CF" w:rsidRDefault="00AF118A" w:rsidP="00AF118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-642620</wp:posOffset>
            </wp:positionV>
            <wp:extent cx="739775" cy="942975"/>
            <wp:effectExtent l="19050" t="0" r="3175" b="0"/>
            <wp:wrapSquare wrapText="bothSides"/>
            <wp:docPr id="2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DB">
        <w:rPr>
          <w:noProof/>
          <w:lang w:eastAsia="ru-RU"/>
        </w:rPr>
        <w:t xml:space="preserve">       </w:t>
      </w:r>
    </w:p>
    <w:p w:rsidR="00D60EA5" w:rsidRDefault="00D60EA5" w:rsidP="00D60EA5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18A" w:rsidRDefault="00AF118A" w:rsidP="00D60EA5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291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«Борзинское»</w:t>
      </w:r>
    </w:p>
    <w:p w:rsidR="00D60EA5" w:rsidRPr="006C6291" w:rsidRDefault="00D60EA5" w:rsidP="00D60EA5">
      <w:pPr>
        <w:tabs>
          <w:tab w:val="left" w:pos="317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18A" w:rsidRPr="006C6291" w:rsidRDefault="00AF118A" w:rsidP="00AF118A">
      <w:pPr>
        <w:tabs>
          <w:tab w:val="left" w:pos="317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29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F118A" w:rsidRPr="00AD1DF3" w:rsidRDefault="00AF118A" w:rsidP="00AF118A">
      <w:pPr>
        <w:tabs>
          <w:tab w:val="left" w:pos="8232"/>
        </w:tabs>
        <w:rPr>
          <w:rFonts w:ascii="Times New Roman" w:hAnsi="Times New Roman" w:cs="Times New Roman"/>
          <w:sz w:val="28"/>
          <w:szCs w:val="28"/>
        </w:rPr>
      </w:pPr>
      <w:r w:rsidRPr="0019080D">
        <w:rPr>
          <w:rFonts w:ascii="Times New Roman" w:hAnsi="Times New Roman" w:cs="Times New Roman"/>
          <w:sz w:val="28"/>
          <w:szCs w:val="28"/>
        </w:rPr>
        <w:t>«</w:t>
      </w:r>
      <w:r w:rsidR="0019080D" w:rsidRPr="0019080D">
        <w:rPr>
          <w:rFonts w:ascii="Times New Roman" w:hAnsi="Times New Roman" w:cs="Times New Roman"/>
          <w:sz w:val="28"/>
          <w:szCs w:val="28"/>
        </w:rPr>
        <w:t>27</w:t>
      </w:r>
      <w:r w:rsidRPr="0019080D">
        <w:rPr>
          <w:rFonts w:ascii="Times New Roman" w:hAnsi="Times New Roman" w:cs="Times New Roman"/>
          <w:sz w:val="28"/>
          <w:szCs w:val="28"/>
        </w:rPr>
        <w:t>»</w:t>
      </w:r>
      <w:r w:rsidR="0019080D" w:rsidRPr="0019080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9080D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ab/>
      </w:r>
      <w:r w:rsidR="0019080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0FDB">
        <w:rPr>
          <w:rFonts w:ascii="Times New Roman" w:hAnsi="Times New Roman" w:cs="Times New Roman"/>
          <w:sz w:val="28"/>
          <w:szCs w:val="28"/>
        </w:rPr>
        <w:t xml:space="preserve">  </w:t>
      </w:r>
      <w:r w:rsidR="0019080D">
        <w:rPr>
          <w:rFonts w:ascii="Times New Roman" w:hAnsi="Times New Roman" w:cs="Times New Roman"/>
          <w:sz w:val="28"/>
          <w:szCs w:val="28"/>
        </w:rPr>
        <w:t>158</w:t>
      </w:r>
    </w:p>
    <w:p w:rsidR="00AF118A" w:rsidRDefault="00AF118A" w:rsidP="00AF118A">
      <w:pPr>
        <w:tabs>
          <w:tab w:val="left" w:pos="4035"/>
        </w:tabs>
        <w:rPr>
          <w:rFonts w:ascii="Times New Roman" w:hAnsi="Times New Roman" w:cs="Times New Roman"/>
          <w:b/>
          <w:sz w:val="28"/>
          <w:szCs w:val="28"/>
        </w:rPr>
      </w:pPr>
      <w:r w:rsidRPr="00AD1DF3">
        <w:rPr>
          <w:rFonts w:ascii="Times New Roman" w:hAnsi="Times New Roman" w:cs="Times New Roman"/>
          <w:sz w:val="28"/>
          <w:szCs w:val="28"/>
        </w:rPr>
        <w:tab/>
      </w:r>
      <w:r w:rsidRPr="00AD1DF3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AF118A" w:rsidRPr="009D2DFD" w:rsidRDefault="00AF118A" w:rsidP="00AF1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DF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</w:t>
      </w:r>
      <w:r>
        <w:rPr>
          <w:rFonts w:ascii="Times New Roman" w:hAnsi="Times New Roman" w:cs="Times New Roman"/>
          <w:b/>
          <w:bCs/>
          <w:sz w:val="28"/>
          <w:szCs w:val="28"/>
        </w:rPr>
        <w:t>стра источников доходов бюджета городского поселения «Борзинское»</w:t>
      </w:r>
    </w:p>
    <w:p w:rsidR="00D90FDB" w:rsidRDefault="00D90FDB" w:rsidP="00AF118A">
      <w:pPr>
        <w:pStyle w:val="a4"/>
        <w:ind w:left="0" w:firstLine="708"/>
        <w:jc w:val="both"/>
        <w:rPr>
          <w:sz w:val="28"/>
          <w:szCs w:val="28"/>
        </w:rPr>
      </w:pPr>
    </w:p>
    <w:p w:rsidR="00AF118A" w:rsidRPr="00F03F0E" w:rsidRDefault="00AF118A" w:rsidP="00AF118A">
      <w:pPr>
        <w:pStyle w:val="a4"/>
        <w:ind w:left="0" w:firstLine="708"/>
        <w:jc w:val="both"/>
        <w:rPr>
          <w:sz w:val="28"/>
          <w:szCs w:val="28"/>
        </w:rPr>
      </w:pPr>
      <w:r w:rsidRPr="009D2DFD">
        <w:rPr>
          <w:sz w:val="28"/>
          <w:szCs w:val="28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</w:t>
      </w:r>
      <w:proofErr w:type="gramStart"/>
      <w:r w:rsidRPr="009D2DFD">
        <w:rPr>
          <w:sz w:val="28"/>
          <w:szCs w:val="28"/>
        </w:rPr>
        <w:t>,</w:t>
      </w:r>
      <w:r w:rsidRPr="009D2DFD">
        <w:rPr>
          <w:color w:val="000000"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со стать</w:t>
      </w:r>
      <w:r w:rsidR="006452A3">
        <w:rPr>
          <w:sz w:val="28"/>
          <w:szCs w:val="28"/>
        </w:rPr>
        <w:t>ями</w:t>
      </w:r>
      <w:r>
        <w:rPr>
          <w:sz w:val="28"/>
          <w:szCs w:val="28"/>
        </w:rPr>
        <w:t xml:space="preserve">  </w:t>
      </w:r>
      <w:r w:rsidR="006452A3">
        <w:rPr>
          <w:sz w:val="28"/>
          <w:szCs w:val="28"/>
        </w:rPr>
        <w:t xml:space="preserve">37, 38  </w:t>
      </w:r>
      <w:r w:rsidRPr="009D2DF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 «Борзинское»</w:t>
      </w:r>
      <w:r w:rsidRPr="009D2DF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городского поселения «Борзинское» </w:t>
      </w:r>
      <w:proofErr w:type="spellStart"/>
      <w:r w:rsidRPr="009D2DFD">
        <w:rPr>
          <w:b/>
          <w:sz w:val="28"/>
          <w:szCs w:val="28"/>
        </w:rPr>
        <w:t>п</w:t>
      </w:r>
      <w:proofErr w:type="spellEnd"/>
      <w:r w:rsidRPr="009D2DFD">
        <w:rPr>
          <w:b/>
          <w:sz w:val="28"/>
          <w:szCs w:val="28"/>
        </w:rPr>
        <w:t xml:space="preserve"> о с т а </w:t>
      </w:r>
      <w:proofErr w:type="spellStart"/>
      <w:r w:rsidRPr="009D2DFD">
        <w:rPr>
          <w:b/>
          <w:sz w:val="28"/>
          <w:szCs w:val="28"/>
        </w:rPr>
        <w:t>н</w:t>
      </w:r>
      <w:proofErr w:type="spellEnd"/>
      <w:r w:rsidRPr="009D2DFD">
        <w:rPr>
          <w:b/>
          <w:sz w:val="28"/>
          <w:szCs w:val="28"/>
        </w:rPr>
        <w:t xml:space="preserve"> о в л я е т: </w:t>
      </w:r>
    </w:p>
    <w:p w:rsidR="00D60EA5" w:rsidRDefault="00AF118A" w:rsidP="00AF11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118A" w:rsidRPr="009D2DFD" w:rsidRDefault="00AF118A" w:rsidP="00D60EA5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DFD">
        <w:rPr>
          <w:rFonts w:ascii="Times New Roman" w:hAnsi="Times New Roman" w:cs="Times New Roman"/>
          <w:sz w:val="28"/>
          <w:szCs w:val="28"/>
        </w:rPr>
        <w:t xml:space="preserve">   1. Утвердить прилагаемый Порядок формирования и ведения реестра источников </w:t>
      </w:r>
      <w:r w:rsidRPr="00C8085B">
        <w:rPr>
          <w:rFonts w:ascii="Times New Roman" w:hAnsi="Times New Roman" w:cs="Times New Roman"/>
          <w:sz w:val="28"/>
          <w:szCs w:val="28"/>
        </w:rPr>
        <w:t>доходов бюджета городского поселения «</w:t>
      </w:r>
      <w:r>
        <w:rPr>
          <w:rFonts w:ascii="Times New Roman" w:hAnsi="Times New Roman" w:cs="Times New Roman"/>
          <w:sz w:val="28"/>
          <w:szCs w:val="28"/>
        </w:rPr>
        <w:t>Борзинское</w:t>
      </w:r>
      <w:r w:rsidRPr="00C8085B">
        <w:rPr>
          <w:rFonts w:ascii="Times New Roman" w:hAnsi="Times New Roman" w:cs="Times New Roman"/>
          <w:sz w:val="28"/>
          <w:szCs w:val="28"/>
        </w:rPr>
        <w:t>»</w:t>
      </w:r>
      <w:r w:rsidRPr="009D2DFD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AF118A" w:rsidRPr="009D2DFD" w:rsidRDefault="009B755C" w:rsidP="00AF118A">
      <w:pPr>
        <w:pStyle w:val="23"/>
        <w:shd w:val="clear" w:color="auto" w:fill="auto"/>
        <w:spacing w:before="0" w:after="0" w:line="322" w:lineRule="exact"/>
        <w:ind w:right="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118A" w:rsidRPr="009D2DFD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="00AF118A" w:rsidRPr="006E7545">
        <w:rPr>
          <w:sz w:val="28"/>
          <w:szCs w:val="28"/>
        </w:rPr>
        <w:t xml:space="preserve">астоящее постановление вступает в силу </w:t>
      </w:r>
      <w:r w:rsidR="00D90FDB">
        <w:rPr>
          <w:sz w:val="28"/>
          <w:szCs w:val="28"/>
        </w:rPr>
        <w:t xml:space="preserve">со дня его </w:t>
      </w:r>
      <w:proofErr w:type="spellStart"/>
      <w:r w:rsidR="00D90FDB">
        <w:rPr>
          <w:sz w:val="28"/>
          <w:szCs w:val="28"/>
        </w:rPr>
        <w:t>подписания</w:t>
      </w:r>
      <w:proofErr w:type="gramStart"/>
      <w:r w:rsidR="00D90FDB">
        <w:rPr>
          <w:sz w:val="28"/>
          <w:szCs w:val="28"/>
        </w:rPr>
        <w:t>,з</w:t>
      </w:r>
      <w:proofErr w:type="gramEnd"/>
      <w:r w:rsidR="00AF118A" w:rsidRPr="009D2DFD">
        <w:rPr>
          <w:sz w:val="28"/>
          <w:szCs w:val="28"/>
        </w:rPr>
        <w:t>а</w:t>
      </w:r>
      <w:proofErr w:type="spellEnd"/>
      <w:r w:rsidR="00AF118A" w:rsidRPr="009D2DFD">
        <w:rPr>
          <w:sz w:val="28"/>
          <w:szCs w:val="28"/>
        </w:rPr>
        <w:t xml:space="preserve"> исключением пункта 24 Порядка, который вступает в силу с 01 января 2017 года, пункта 12 Порядка, который вступает в силу с 1 января 2019 года.   </w:t>
      </w:r>
    </w:p>
    <w:p w:rsidR="00AF118A" w:rsidRPr="009D2DFD" w:rsidRDefault="00AF118A" w:rsidP="00AF118A">
      <w:pPr>
        <w:pStyle w:val="23"/>
        <w:shd w:val="clear" w:color="auto" w:fill="auto"/>
        <w:spacing w:before="0" w:after="0" w:line="322" w:lineRule="exact"/>
        <w:ind w:left="40" w:right="20" w:firstLine="700"/>
        <w:jc w:val="both"/>
        <w:rPr>
          <w:color w:val="000000"/>
          <w:sz w:val="28"/>
          <w:szCs w:val="28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18A" w:rsidRPr="00F85322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72C5">
        <w:rPr>
          <w:rFonts w:ascii="Times New Roman" w:hAnsi="Times New Roman"/>
          <w:sz w:val="28"/>
          <w:szCs w:val="28"/>
        </w:rPr>
        <w:t xml:space="preserve">Глава городского поселения «Борзинское» </w:t>
      </w:r>
      <w:r w:rsidRPr="00B172C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Н. Н. Яковлев</w:t>
      </w:r>
      <w:r w:rsidRPr="00B172C5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F118A" w:rsidRPr="00F85322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97A" w:rsidRDefault="00BD297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97A" w:rsidRDefault="00BD297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97A" w:rsidRDefault="00BD297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18A" w:rsidRDefault="00AF118A" w:rsidP="00AF118A">
      <w:pPr>
        <w:pStyle w:val="3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1464" w:rsidRPr="00D60EA5" w:rsidRDefault="006452A3" w:rsidP="006452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0E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D60E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0EA5">
        <w:rPr>
          <w:rFonts w:ascii="Times New Roman" w:hAnsi="Times New Roman" w:cs="Times New Roman"/>
          <w:sz w:val="24"/>
          <w:szCs w:val="24"/>
        </w:rPr>
        <w:t xml:space="preserve"> </w:t>
      </w:r>
      <w:r w:rsidR="002E1464" w:rsidRPr="00D60EA5">
        <w:rPr>
          <w:rFonts w:ascii="Times New Roman" w:hAnsi="Times New Roman" w:cs="Times New Roman"/>
          <w:sz w:val="24"/>
          <w:szCs w:val="24"/>
        </w:rPr>
        <w:t>ПРИЛОЖЕНИЕ</w:t>
      </w:r>
    </w:p>
    <w:p w:rsidR="006452A3" w:rsidRPr="00D60EA5" w:rsidRDefault="006452A3" w:rsidP="006452A3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60EA5">
        <w:rPr>
          <w:rFonts w:ascii="Times New Roman" w:hAnsi="Times New Roman" w:cs="Times New Roman"/>
          <w:sz w:val="24"/>
          <w:szCs w:val="24"/>
        </w:rPr>
        <w:t>к</w:t>
      </w:r>
      <w:r w:rsidR="002E1464" w:rsidRPr="00D60EA5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D60EA5">
        <w:rPr>
          <w:rFonts w:ascii="Times New Roman" w:hAnsi="Times New Roman" w:cs="Times New Roman"/>
          <w:sz w:val="24"/>
          <w:szCs w:val="24"/>
        </w:rPr>
        <w:t xml:space="preserve"> </w:t>
      </w:r>
      <w:r w:rsidR="002E1464" w:rsidRPr="00D60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6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64" w:rsidRDefault="002E1464" w:rsidP="006452A3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D60EA5">
        <w:rPr>
          <w:rFonts w:ascii="Times New Roman" w:hAnsi="Times New Roman" w:cs="Times New Roman"/>
          <w:sz w:val="24"/>
          <w:szCs w:val="24"/>
        </w:rPr>
        <w:t>городского</w:t>
      </w:r>
      <w:r w:rsidR="006452A3" w:rsidRPr="00D60EA5">
        <w:rPr>
          <w:rFonts w:ascii="Times New Roman" w:hAnsi="Times New Roman" w:cs="Times New Roman"/>
          <w:sz w:val="24"/>
          <w:szCs w:val="24"/>
        </w:rPr>
        <w:t xml:space="preserve">  </w:t>
      </w:r>
      <w:r w:rsidRPr="00D60EA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452A3" w:rsidRPr="00D60EA5">
        <w:rPr>
          <w:rFonts w:ascii="Times New Roman" w:hAnsi="Times New Roman" w:cs="Times New Roman"/>
          <w:sz w:val="24"/>
          <w:szCs w:val="24"/>
        </w:rPr>
        <w:t>Борзинское</w:t>
      </w:r>
      <w:r w:rsidRPr="00D60EA5">
        <w:rPr>
          <w:rFonts w:ascii="Times New Roman" w:hAnsi="Times New Roman" w:cs="Times New Roman"/>
          <w:sz w:val="24"/>
          <w:szCs w:val="24"/>
        </w:rPr>
        <w:t>»</w:t>
      </w:r>
      <w:r w:rsidR="00D6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EA5" w:rsidRPr="00D60EA5" w:rsidRDefault="00D60EA5" w:rsidP="006452A3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Порядка формирования и ведения реестра источников доходов бюджета городского поселения «Борзинское» </w:t>
      </w:r>
    </w:p>
    <w:p w:rsidR="002E1464" w:rsidRPr="00D60EA5" w:rsidRDefault="006452A3" w:rsidP="006452A3">
      <w:pPr>
        <w:pStyle w:val="ConsPlusNormal"/>
        <w:contextualSpacing/>
        <w:jc w:val="center"/>
        <w:rPr>
          <w:sz w:val="24"/>
          <w:szCs w:val="24"/>
        </w:rPr>
      </w:pPr>
      <w:r w:rsidRPr="00D60EA5">
        <w:rPr>
          <w:sz w:val="24"/>
          <w:szCs w:val="24"/>
        </w:rPr>
        <w:t xml:space="preserve">                                                                </w:t>
      </w:r>
      <w:r w:rsidR="00D60EA5">
        <w:rPr>
          <w:sz w:val="24"/>
          <w:szCs w:val="24"/>
        </w:rPr>
        <w:t xml:space="preserve">        </w:t>
      </w:r>
      <w:r w:rsidRPr="00D60EA5">
        <w:rPr>
          <w:sz w:val="24"/>
          <w:szCs w:val="24"/>
        </w:rPr>
        <w:t xml:space="preserve">   </w:t>
      </w:r>
      <w:r w:rsidR="002E1464" w:rsidRPr="00D60EA5">
        <w:rPr>
          <w:sz w:val="24"/>
          <w:szCs w:val="24"/>
        </w:rPr>
        <w:t>от</w:t>
      </w:r>
      <w:r w:rsidRPr="00D60EA5">
        <w:rPr>
          <w:sz w:val="24"/>
          <w:szCs w:val="24"/>
        </w:rPr>
        <w:t xml:space="preserve"> «_</w:t>
      </w:r>
      <w:r w:rsidR="00D60EA5">
        <w:rPr>
          <w:sz w:val="24"/>
          <w:szCs w:val="24"/>
        </w:rPr>
        <w:t>__</w:t>
      </w:r>
      <w:r w:rsidRPr="00D60EA5">
        <w:rPr>
          <w:sz w:val="24"/>
          <w:szCs w:val="24"/>
        </w:rPr>
        <w:t>»</w:t>
      </w:r>
      <w:r w:rsidR="002E1464" w:rsidRPr="00D60EA5">
        <w:rPr>
          <w:sz w:val="24"/>
          <w:szCs w:val="24"/>
        </w:rPr>
        <w:t xml:space="preserve">  </w:t>
      </w:r>
      <w:r w:rsidRPr="00D60EA5">
        <w:rPr>
          <w:sz w:val="24"/>
          <w:szCs w:val="24"/>
        </w:rPr>
        <w:t>марта</w:t>
      </w:r>
      <w:r w:rsidR="002E1464" w:rsidRPr="00D60EA5">
        <w:rPr>
          <w:sz w:val="24"/>
          <w:szCs w:val="24"/>
        </w:rPr>
        <w:t xml:space="preserve">  201</w:t>
      </w:r>
      <w:r w:rsidRPr="00D60EA5">
        <w:rPr>
          <w:sz w:val="24"/>
          <w:szCs w:val="24"/>
        </w:rPr>
        <w:t>9</w:t>
      </w:r>
      <w:r w:rsidR="002E1464" w:rsidRPr="00D60EA5">
        <w:rPr>
          <w:sz w:val="24"/>
          <w:szCs w:val="24"/>
        </w:rPr>
        <w:t xml:space="preserve"> года №</w:t>
      </w:r>
      <w:r w:rsidRPr="00D60EA5">
        <w:rPr>
          <w:sz w:val="24"/>
          <w:szCs w:val="24"/>
        </w:rPr>
        <w:t xml:space="preserve"> _</w:t>
      </w:r>
      <w:r w:rsidR="00D60EA5">
        <w:rPr>
          <w:sz w:val="24"/>
          <w:szCs w:val="24"/>
        </w:rPr>
        <w:t>_</w:t>
      </w:r>
      <w:r w:rsidR="002E1464" w:rsidRPr="00D60EA5">
        <w:rPr>
          <w:sz w:val="24"/>
          <w:szCs w:val="24"/>
        </w:rPr>
        <w:t>___</w:t>
      </w:r>
    </w:p>
    <w:p w:rsidR="002E1464" w:rsidRPr="002E1464" w:rsidRDefault="002E1464" w:rsidP="002E146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75038" w:rsidRDefault="00175038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464" w:rsidRPr="002E1464" w:rsidRDefault="002E1464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E1464" w:rsidRPr="002E1464" w:rsidRDefault="002E1464" w:rsidP="002E1464">
      <w:pPr>
        <w:spacing w:after="0" w:line="240" w:lineRule="auto"/>
        <w:ind w:left="6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4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городского бюджета «</w:t>
      </w:r>
      <w:r w:rsidR="00175038">
        <w:rPr>
          <w:rFonts w:ascii="Times New Roman" w:hAnsi="Times New Roman" w:cs="Times New Roman"/>
          <w:b/>
          <w:sz w:val="28"/>
          <w:szCs w:val="28"/>
        </w:rPr>
        <w:t>Борзинс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r w:rsidRPr="002E14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E1464" w:rsidRPr="002E1464" w:rsidRDefault="002E1464" w:rsidP="002E14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464" w:rsidRPr="00977E85" w:rsidRDefault="002E1464" w:rsidP="002E14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 и ведения реестра источников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Борзинск</w:t>
      </w:r>
      <w:r w:rsidRPr="00977E85">
        <w:rPr>
          <w:rFonts w:ascii="Times New Roman" w:hAnsi="Times New Roman" w:cs="Times New Roman"/>
          <w:sz w:val="28"/>
          <w:szCs w:val="28"/>
        </w:rPr>
        <w:t>ое» (далее – реестр источников доходов бюджета).</w:t>
      </w:r>
    </w:p>
    <w:p w:rsidR="002E1464" w:rsidRPr="00977E85" w:rsidRDefault="002E1464" w:rsidP="002E14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представляет собой свод информации о доходах бюджета по источникам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Борзинское</w:t>
      </w:r>
      <w:r w:rsidRPr="00977E85">
        <w:rPr>
          <w:rFonts w:ascii="Times New Roman" w:hAnsi="Times New Roman" w:cs="Times New Roman"/>
          <w:sz w:val="28"/>
          <w:szCs w:val="28"/>
        </w:rPr>
        <w:t>» (далее – бюджет), формируемый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доходов).</w:t>
      </w:r>
    </w:p>
    <w:p w:rsidR="002E1464" w:rsidRPr="00977E85" w:rsidRDefault="002E1464" w:rsidP="002E1464">
      <w:pPr>
        <w:pStyle w:val="ConsPlusNormal"/>
        <w:numPr>
          <w:ilvl w:val="0"/>
          <w:numId w:val="1"/>
        </w:numPr>
        <w:ind w:left="0" w:firstLine="568"/>
        <w:contextualSpacing/>
        <w:jc w:val="both"/>
      </w:pPr>
      <w:r w:rsidRPr="00977E85">
        <w:t>Реестр источников доходов бюджета городского поселения «</w:t>
      </w:r>
      <w:r w:rsidR="00AB39B4">
        <w:t>Борзинс</w:t>
      </w:r>
      <w:r w:rsidRPr="00977E85">
        <w:t>кое» формируется и ведется как единый информационный ресурс, в котором отражаются бюджетные данные на этапах составления, утверждения и исполнения закона о соответственном бюджете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2E1464" w:rsidRPr="00977E85" w:rsidRDefault="002E1464" w:rsidP="002E146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Борзинск</w:t>
      </w:r>
      <w:r w:rsidRPr="00977E85">
        <w:rPr>
          <w:rFonts w:ascii="Times New Roman" w:hAnsi="Times New Roman" w:cs="Times New Roman"/>
          <w:sz w:val="28"/>
          <w:szCs w:val="28"/>
        </w:rPr>
        <w:t xml:space="preserve">ое» формируется и ведется в электронной форме в государственной 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2E1464" w:rsidRPr="00977E85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E85">
        <w:rPr>
          <w:rFonts w:ascii="Times New Roman" w:hAnsi="Times New Roman" w:cs="Times New Roman"/>
          <w:sz w:val="28"/>
          <w:szCs w:val="28"/>
        </w:rPr>
        <w:t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бюджетов.</w:t>
      </w:r>
    </w:p>
    <w:p w:rsidR="002E1464" w:rsidRPr="00977E85" w:rsidRDefault="00011351" w:rsidP="002E1464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64" w:rsidRPr="00977E85">
        <w:rPr>
          <w:rFonts w:ascii="Times New Roman" w:hAnsi="Times New Roman" w:cs="Times New Roman"/>
          <w:sz w:val="28"/>
          <w:szCs w:val="28"/>
        </w:rPr>
        <w:t>Реестр источников доходов бюджета городского поселения «</w:t>
      </w:r>
      <w:r w:rsidR="00AB39B4">
        <w:rPr>
          <w:rFonts w:ascii="Times New Roman" w:hAnsi="Times New Roman" w:cs="Times New Roman"/>
          <w:sz w:val="28"/>
          <w:szCs w:val="28"/>
        </w:rPr>
        <w:t>Борзин</w:t>
      </w:r>
      <w:r w:rsidR="002E1464" w:rsidRPr="00977E85">
        <w:rPr>
          <w:rFonts w:ascii="Times New Roman" w:hAnsi="Times New Roman" w:cs="Times New Roman"/>
          <w:sz w:val="28"/>
          <w:szCs w:val="28"/>
        </w:rPr>
        <w:t xml:space="preserve">ское»  ведется  </w:t>
      </w:r>
      <w:r w:rsidR="00977E85">
        <w:rPr>
          <w:rFonts w:ascii="Times New Roman" w:hAnsi="Times New Roman" w:cs="Times New Roman"/>
          <w:sz w:val="28"/>
          <w:szCs w:val="28"/>
        </w:rPr>
        <w:t>администрацией</w:t>
      </w:r>
      <w:r w:rsidR="002E1464" w:rsidRPr="00977E85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</w:t>
      </w:r>
      <w:r w:rsidR="002E1464" w:rsidRPr="00977E85">
        <w:rPr>
          <w:rFonts w:ascii="Times New Roman" w:hAnsi="Times New Roman" w:cs="Times New Roman"/>
          <w:sz w:val="28"/>
          <w:szCs w:val="28"/>
        </w:rPr>
        <w:t>кое» (далее  – Администрация).</w:t>
      </w:r>
    </w:p>
    <w:p w:rsidR="002E1464" w:rsidRPr="002E1464" w:rsidRDefault="002E1464" w:rsidP="002E146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464">
        <w:rPr>
          <w:rFonts w:ascii="Times New Roman" w:hAnsi="Times New Roman" w:cs="Times New Roman"/>
          <w:sz w:val="28"/>
          <w:szCs w:val="28"/>
        </w:rPr>
        <w:t xml:space="preserve">В </w:t>
      </w:r>
      <w:r w:rsidR="0036182E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82E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ведения  реестра источников доходов бюджета </w:t>
      </w:r>
      <w:r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Борзинско</w:t>
      </w:r>
      <w:r w:rsidRPr="00977E85">
        <w:rPr>
          <w:rFonts w:ascii="Times New Roman" w:hAnsi="Times New Roman" w:cs="Times New Roman"/>
          <w:sz w:val="28"/>
          <w:szCs w:val="28"/>
        </w:rPr>
        <w:t>е», Администрация, указанный в пункте 8</w:t>
      </w:r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E1464">
        <w:rPr>
          <w:rFonts w:ascii="Times New Roman" w:hAnsi="Times New Roman" w:cs="Times New Roman"/>
          <w:sz w:val="28"/>
          <w:szCs w:val="28"/>
        </w:rPr>
        <w:lastRenderedPageBreak/>
        <w:t xml:space="preserve">Порядка, органы местного самоуправления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</w:t>
      </w:r>
      <w:r w:rsidR="00B227AD" w:rsidRPr="00977E85">
        <w:rPr>
          <w:rFonts w:ascii="Times New Roman" w:hAnsi="Times New Roman" w:cs="Times New Roman"/>
          <w:sz w:val="28"/>
          <w:szCs w:val="28"/>
        </w:rPr>
        <w:t>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, казенные учреждения, иные организации, осуществляющие бюджетные полномочия главных администраторов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</w:t>
      </w:r>
      <w:r w:rsidR="00B227AD" w:rsidRPr="00977E85">
        <w:rPr>
          <w:rFonts w:ascii="Times New Roman" w:hAnsi="Times New Roman" w:cs="Times New Roman"/>
          <w:sz w:val="28"/>
          <w:szCs w:val="28"/>
        </w:rPr>
        <w:t>ое»</w:t>
      </w:r>
      <w:r w:rsidR="00B227AD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>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 xml:space="preserve">источнику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</w:t>
      </w:r>
      <w:r w:rsidR="00B227AD" w:rsidRPr="00977E85">
        <w:rPr>
          <w:rFonts w:ascii="Times New Roman" w:hAnsi="Times New Roman" w:cs="Times New Roman"/>
          <w:sz w:val="28"/>
          <w:szCs w:val="28"/>
        </w:rPr>
        <w:t>кое»</w:t>
      </w:r>
      <w:r w:rsidR="00B227AD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(в случае если указанные органы и организации не осуществляют бюджетных полномочий администраторов доходов бюджета) (далее – участники процесса ведения реестра источников доходов бюджета </w:t>
      </w:r>
      <w:r w:rsidR="00B227AD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</w:t>
      </w:r>
      <w:r w:rsidR="00B227AD" w:rsidRPr="00977E85">
        <w:rPr>
          <w:rFonts w:ascii="Times New Roman" w:hAnsi="Times New Roman" w:cs="Times New Roman"/>
          <w:sz w:val="28"/>
          <w:szCs w:val="28"/>
        </w:rPr>
        <w:t>ое»</w:t>
      </w:r>
      <w:r w:rsidRPr="002E1464">
        <w:rPr>
          <w:rFonts w:ascii="Times New Roman" w:hAnsi="Times New Roman" w:cs="Times New Roman"/>
          <w:sz w:val="28"/>
          <w:szCs w:val="28"/>
        </w:rPr>
        <w:t>), обеспечивают занесение (ввод) в информационную систему сведений, в соответствии с заключенным Договором об обмене элект</w:t>
      </w:r>
      <w:r w:rsidR="002B74D1">
        <w:rPr>
          <w:rFonts w:ascii="Times New Roman" w:hAnsi="Times New Roman" w:cs="Times New Roman"/>
          <w:sz w:val="28"/>
          <w:szCs w:val="28"/>
        </w:rPr>
        <w:t>ронными документами, необходимыми</w:t>
      </w:r>
      <w:r w:rsidRPr="002E1464">
        <w:rPr>
          <w:rFonts w:ascii="Times New Roman" w:hAnsi="Times New Roman" w:cs="Times New Roman"/>
          <w:sz w:val="28"/>
          <w:szCs w:val="28"/>
        </w:rPr>
        <w:t xml:space="preserve"> для ведения реестра источников доходов бюджета в соответствии с настоящим Порядком. </w:t>
      </w:r>
      <w:proofErr w:type="gramEnd"/>
    </w:p>
    <w:p w:rsidR="002E1464" w:rsidRPr="002E1464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бюджетов несут участники процесса ведения реестра источников доходов бюджета.</w:t>
      </w:r>
    </w:p>
    <w:p w:rsidR="002E1464" w:rsidRPr="002E1464" w:rsidRDefault="002E1464" w:rsidP="002E1464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 наименование источника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11.3 наименование группы источников доходов бюджетов, в которую входит источник дохода бюджета, и ее идентификационный код по перечню источников доходов;</w:t>
      </w:r>
    </w:p>
    <w:p w:rsidR="002E1464" w:rsidRPr="002E1464" w:rsidRDefault="002E1464" w:rsidP="002E146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11.5 информация об органе местного самоуправления </w:t>
      </w:r>
      <w:r w:rsidR="000574F5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Борзинское</w:t>
      </w:r>
      <w:r w:rsidR="000574F5" w:rsidRPr="00977E85">
        <w:rPr>
          <w:rFonts w:ascii="Times New Roman" w:hAnsi="Times New Roman" w:cs="Times New Roman"/>
          <w:sz w:val="28"/>
          <w:szCs w:val="28"/>
        </w:rPr>
        <w:t>»</w:t>
      </w:r>
      <w:r w:rsidRPr="002E1464">
        <w:rPr>
          <w:rFonts w:ascii="Times New Roman" w:hAnsi="Times New Roman" w:cs="Times New Roman"/>
          <w:sz w:val="28"/>
          <w:szCs w:val="28"/>
        </w:rPr>
        <w:t>,  казенном учреждении, иной организации, осуществляющих бюджетные полномочия главного администратора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11.6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закона о бюджете </w:t>
      </w:r>
      <w:r w:rsidR="000574F5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F60D70">
        <w:rPr>
          <w:rFonts w:ascii="Times New Roman" w:hAnsi="Times New Roman" w:cs="Times New Roman"/>
          <w:sz w:val="28"/>
          <w:szCs w:val="28"/>
        </w:rPr>
        <w:t>Борзинск</w:t>
      </w:r>
      <w:r w:rsidR="000574F5" w:rsidRPr="00977E85">
        <w:rPr>
          <w:rFonts w:ascii="Times New Roman" w:hAnsi="Times New Roman" w:cs="Times New Roman"/>
          <w:sz w:val="28"/>
          <w:szCs w:val="28"/>
        </w:rPr>
        <w:t>ое»</w:t>
      </w:r>
      <w:r w:rsidR="000574F5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>(далее – закон о соответствующем бюджете);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соответствующем бюджете с учетом закона о внесении изменений в закон о соответствующем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lastRenderedPageBreak/>
        <w:t>11.9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11.10 показатели кассовых поступлений по коду классификации доходов бюджета, соответствующему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11.11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 соответствующем бюджете.</w:t>
      </w:r>
    </w:p>
    <w:p w:rsidR="002E1464" w:rsidRPr="002E1464" w:rsidRDefault="002E1464" w:rsidP="002E1464">
      <w:pPr>
        <w:pStyle w:val="ConsPlusNormal"/>
        <w:tabs>
          <w:tab w:val="left" w:pos="993"/>
          <w:tab w:val="left" w:pos="1276"/>
          <w:tab w:val="left" w:pos="1418"/>
        </w:tabs>
        <w:ind w:firstLine="709"/>
        <w:contextualSpacing/>
        <w:jc w:val="both"/>
      </w:pPr>
      <w:r w:rsidRPr="002E1464">
        <w:t>12.</w:t>
      </w:r>
      <w:r w:rsidRPr="002E1464">
        <w:tab/>
        <w:t>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 наименование источника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12.2 код (коды) классификации доходов бюджета, соответствующий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12.3 идентификационный код по перечню источников доходов, соответствующий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12.5 информация об </w:t>
      </w:r>
      <w:r w:rsidR="001D2C8A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самоуправления, </w:t>
      </w:r>
      <w:r w:rsidRPr="002E1464">
        <w:rPr>
          <w:rFonts w:ascii="Times New Roman" w:hAnsi="Times New Roman" w:cs="Times New Roman"/>
          <w:sz w:val="28"/>
          <w:szCs w:val="28"/>
        </w:rPr>
        <w:t>казенных учреждениях, иных организациях  осуществляющих бюджетные полномочия главных администраторов доходов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12.6 информация об о</w:t>
      </w:r>
      <w:r w:rsidR="001D2C8A">
        <w:rPr>
          <w:rFonts w:ascii="Times New Roman" w:hAnsi="Times New Roman" w:cs="Times New Roman"/>
          <w:sz w:val="28"/>
          <w:szCs w:val="28"/>
        </w:rPr>
        <w:t>рганах местного самоуправления</w:t>
      </w:r>
      <w:r w:rsidRPr="002E1464">
        <w:rPr>
          <w:rFonts w:ascii="Times New Roman" w:hAnsi="Times New Roman" w:cs="Times New Roman"/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 по источнику дохода бюджета;</w:t>
      </w:r>
    </w:p>
    <w:p w:rsidR="002E1464" w:rsidRPr="002E1464" w:rsidRDefault="002E1464" w:rsidP="002E1464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12.7 наименование органов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бюджета </w:t>
      </w:r>
      <w:r w:rsidR="001D2C8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B051C" w:rsidRPr="002E1464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>(в случае если указанные органы не осуществляют бюджетных полномочий администратора доходов бюджета по источнику дохода бюджета);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12.8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464">
        <w:rPr>
          <w:rFonts w:ascii="Times New Roman" w:hAnsi="Times New Roman" w:cs="Times New Roman"/>
          <w:sz w:val="28"/>
          <w:szCs w:val="28"/>
        </w:rPr>
        <w:t>12.9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 и муниципальных платежах;</w:t>
      </w:r>
      <w:proofErr w:type="gramEnd"/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12.10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12.11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12.12 информация о количестве оказанных муниципальных услуг (выполненных работ), иных действий о</w:t>
      </w:r>
      <w:r w:rsidR="00011351"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2E1464">
        <w:rPr>
          <w:rFonts w:ascii="Times New Roman" w:hAnsi="Times New Roman" w:cs="Times New Roman"/>
          <w:sz w:val="28"/>
          <w:szCs w:val="28"/>
        </w:rPr>
        <w:t>, органов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lastRenderedPageBreak/>
        <w:t xml:space="preserve">13.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t xml:space="preserve">14. Информация, указанная в </w:t>
      </w:r>
      <w:hyperlink r:id="rId6" w:history="1">
        <w:r w:rsidRPr="002E1464">
          <w:t>пунктах 11.1</w:t>
        </w:r>
      </w:hyperlink>
      <w:r w:rsidRPr="002E1464">
        <w:t xml:space="preserve"> – </w:t>
      </w:r>
      <w:hyperlink r:id="rId7" w:history="1">
        <w:r w:rsidRPr="002E1464">
          <w:t xml:space="preserve">11.5 </w:t>
        </w:r>
      </w:hyperlink>
      <w:r w:rsidRPr="002E1464">
        <w:t xml:space="preserve">и </w:t>
      </w:r>
      <w:hyperlink r:id="rId8" w:history="1">
        <w:r w:rsidRPr="002E1464">
          <w:t>пунктах 12.1</w:t>
        </w:r>
      </w:hyperlink>
      <w:r w:rsidRPr="002E1464">
        <w:t>-12.7 настоящего Порядка, формируется и изменяется на основе перечня источников доходов</w:t>
      </w:r>
      <w:r w:rsidRPr="002E1464">
        <w:rPr>
          <w:color w:val="FF0000"/>
        </w:rPr>
        <w:t xml:space="preserve"> </w:t>
      </w:r>
      <w:r w:rsidRPr="002E1464">
        <w:t>в  информационной системе.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15. Информация, указанная в </w:t>
      </w:r>
      <w:hyperlink r:id="rId9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11.6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11.9 </w:t>
        </w:r>
      </w:hyperlink>
      <w:r w:rsidRPr="002E1464">
        <w:rPr>
          <w:rFonts w:ascii="Times New Roman" w:hAnsi="Times New Roman" w:cs="Times New Roman"/>
          <w:sz w:val="28"/>
          <w:szCs w:val="28"/>
        </w:rPr>
        <w:t>настоящего Порядка, формируется и ведется на основании прогнозов поступления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16. Информация, указанная в </w:t>
      </w:r>
      <w:hyperlink r:id="rId11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12.9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12.11 </w:t>
        </w:r>
      </w:hyperlink>
      <w:r w:rsidRPr="002E1464">
        <w:rPr>
          <w:rFonts w:ascii="Times New Roman" w:hAnsi="Times New Roman" w:cs="Times New Roman"/>
          <w:sz w:val="28"/>
          <w:szCs w:val="28"/>
        </w:rPr>
        <w:t>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пункте 8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17. Информация, указанная в </w:t>
      </w:r>
      <w:hyperlink r:id="rId13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11.10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r w:rsidRPr="002E1464">
        <w:t xml:space="preserve">18. Участники </w:t>
      </w:r>
      <w:proofErr w:type="gramStart"/>
      <w:r w:rsidRPr="002E1464">
        <w:t xml:space="preserve">процесса  ведения реестра источников доходов бюджета </w:t>
      </w:r>
      <w:r w:rsidR="00BB051C" w:rsidRPr="00977E85">
        <w:t>городского</w:t>
      </w:r>
      <w:proofErr w:type="gramEnd"/>
      <w:r w:rsidR="00BB051C" w:rsidRPr="00977E85">
        <w:t xml:space="preserve"> поселения «</w:t>
      </w:r>
      <w:r w:rsidR="001F38A6">
        <w:t>Борзинск</w:t>
      </w:r>
      <w:r w:rsidR="00BB051C" w:rsidRPr="00977E85">
        <w:t>ое»</w:t>
      </w:r>
      <w:r w:rsidRPr="002E1464">
        <w:t xml:space="preserve"> представляют в Комитет для включения в реестр источников доходов бюджета информацию, указанную в пунктах 11 и 12 настоящего Порядка, в следующие сроки: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18.1 информацию, указанную в </w:t>
      </w:r>
      <w:hyperlink r:id="rId14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5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11.5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12.1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7" w:history="1">
        <w:r w:rsidRPr="002E1464">
          <w:rPr>
            <w:rFonts w:ascii="Times New Roman" w:hAnsi="Times New Roman" w:cs="Times New Roman"/>
            <w:sz w:val="28"/>
            <w:szCs w:val="28"/>
          </w:rPr>
          <w:t>12.7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18.2 информацию, указанную в </w:t>
      </w:r>
      <w:hyperlink r:id="rId18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11.7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E1464">
          <w:rPr>
            <w:rFonts w:ascii="Times New Roman" w:hAnsi="Times New Roman" w:cs="Times New Roman"/>
            <w:sz w:val="28"/>
            <w:szCs w:val="28"/>
          </w:rPr>
          <w:t>11.8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11.11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18.3 информацию, указанную в </w:t>
      </w:r>
      <w:hyperlink r:id="rId21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11.9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18.4 информацию, указанную в </w:t>
      </w:r>
      <w:hyperlink r:id="rId22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12.9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2E1464">
          <w:rPr>
            <w:rFonts w:ascii="Times New Roman" w:hAnsi="Times New Roman" w:cs="Times New Roman"/>
            <w:sz w:val="28"/>
            <w:szCs w:val="28"/>
          </w:rPr>
          <w:t>12.11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2E1464" w:rsidRPr="002E1464" w:rsidRDefault="002E1464" w:rsidP="002E1464">
      <w:pPr>
        <w:pStyle w:val="ConsPlusNormal"/>
        <w:ind w:firstLine="709"/>
        <w:contextualSpacing/>
        <w:jc w:val="both"/>
      </w:pPr>
      <w:r w:rsidRPr="002E1464">
        <w:t xml:space="preserve">18.5 информацию, указанную в </w:t>
      </w:r>
      <w:hyperlink r:id="rId24" w:history="1">
        <w:r w:rsidRPr="002E1464">
          <w:t>пунктах 11.6</w:t>
        </w:r>
      </w:hyperlink>
      <w:r w:rsidRPr="002E1464">
        <w:t xml:space="preserve"> и 12.12 настоящего Порядка, – в сроки, установленные в Плане подготовки проекта закона о бюджете на очередной финансовый год и плановый период; 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18.6 информацию, указанную в </w:t>
      </w:r>
      <w:hyperlink r:id="rId25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11.10 и 12.10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 настоящего Порядка, – в соответствии с порядками составления и ведения кассового плана </w:t>
      </w:r>
      <w:r w:rsidRPr="002E1464">
        <w:rPr>
          <w:rFonts w:ascii="Times New Roman" w:hAnsi="Times New Roman" w:cs="Times New Roman"/>
          <w:sz w:val="28"/>
          <w:szCs w:val="28"/>
        </w:rPr>
        <w:lastRenderedPageBreak/>
        <w:t>исполнения соответствующего бюджета, но не позднее 10-го рабочего дня каждого месяца года;</w:t>
      </w:r>
    </w:p>
    <w:p w:rsidR="002E1464" w:rsidRPr="002E1464" w:rsidRDefault="002E1464" w:rsidP="002E1464">
      <w:pPr>
        <w:pStyle w:val="ConsPlusNormal"/>
        <w:ind w:firstLine="709"/>
        <w:contextualSpacing/>
        <w:jc w:val="both"/>
      </w:pPr>
      <w:r w:rsidRPr="002E1464">
        <w:t xml:space="preserve">18.7 информацию, указанную в </w:t>
      </w:r>
      <w:hyperlink r:id="rId26" w:history="1">
        <w:r w:rsidRPr="002E1464">
          <w:t xml:space="preserve">пункте </w:t>
        </w:r>
      </w:hyperlink>
      <w:r w:rsidRPr="002E1464">
        <w:t>12.8  настоящего Порядка, – незамедлительно, но не позднее одного рабочего дня после осуществления начисления.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19. Орган,  указанный  в пункте 8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27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 и </w:t>
      </w:r>
      <w:hyperlink r:id="rId28" w:history="1">
        <w:r w:rsidRPr="002E14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обеспечивает в автоматизированном режиме проверку наличия информации, в соответствии с пунктами 11, 12 настоящего Порядка.</w:t>
      </w:r>
    </w:p>
    <w:p w:rsidR="002E1464" w:rsidRPr="002E1464" w:rsidRDefault="002E1464" w:rsidP="002E1464">
      <w:pPr>
        <w:pStyle w:val="ConsPlusNormal"/>
        <w:tabs>
          <w:tab w:val="left" w:pos="993"/>
        </w:tabs>
        <w:ind w:firstLine="709"/>
        <w:contextualSpacing/>
        <w:jc w:val="both"/>
      </w:pPr>
      <w:bookmarkStart w:id="0" w:name="Par0"/>
      <w:bookmarkEnd w:id="0"/>
      <w:r w:rsidRPr="002E1464">
        <w:t xml:space="preserve">20. </w:t>
      </w:r>
      <w:proofErr w:type="gramStart"/>
      <w:r w:rsidRPr="002E1464">
        <w:t xml:space="preserve">В случае положительного результата проверки, указанной в               </w:t>
      </w:r>
      <w:hyperlink r:id="rId29" w:history="1">
        <w:r w:rsidRPr="002E1464">
          <w:t xml:space="preserve">пункте </w:t>
        </w:r>
      </w:hyperlink>
      <w:r w:rsidRPr="002E1464">
        <w:t xml:space="preserve">19 настоящего Порядка, информация, представленная участником процесса ведения реестра источников доходов бюджета </w:t>
      </w:r>
      <w:r w:rsidR="00BB051C" w:rsidRPr="00977E85">
        <w:t>городского поселения «</w:t>
      </w:r>
      <w:r w:rsidR="001F38A6">
        <w:t>Борзинс</w:t>
      </w:r>
      <w:r w:rsidR="00BB051C" w:rsidRPr="00977E85">
        <w:t>кое»</w:t>
      </w:r>
      <w:r w:rsidRPr="002E1464">
        <w:t xml:space="preserve">, образует следующие реестровые записи реестра источников доходов бюджета </w:t>
      </w:r>
      <w:r w:rsidR="00BB051C" w:rsidRPr="00977E85">
        <w:t>городского поселения «</w:t>
      </w:r>
      <w:r w:rsidR="001F38A6">
        <w:t>Борзинск</w:t>
      </w:r>
      <w:r w:rsidR="00BB051C" w:rsidRPr="00977E85">
        <w:t>ое»</w:t>
      </w:r>
      <w:r w:rsidRPr="002E1464">
        <w:t>, которым орган, осуществляющий ведение реестра источников доходов бюджета в соответствии с пунктом 8 настоящего Порядка, присваивает уникальные номера:</w:t>
      </w:r>
      <w:proofErr w:type="gramEnd"/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30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1 настоящего Порядка, - реестровую запись источника дохода бюджета реестра источников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в части информации, указанной в </w:t>
      </w:r>
      <w:hyperlink r:id="rId31" w:history="1">
        <w:r w:rsidRPr="002E146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- реестровую запись платежа по источнику дохода бюджета реестра источников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 xml:space="preserve">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B051C" w:rsidRPr="00977E8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F38A6">
        <w:rPr>
          <w:rFonts w:ascii="Times New Roman" w:hAnsi="Times New Roman" w:cs="Times New Roman"/>
          <w:sz w:val="28"/>
          <w:szCs w:val="28"/>
        </w:rPr>
        <w:t>Борзинс</w:t>
      </w:r>
      <w:r w:rsidR="00BB051C" w:rsidRPr="00977E85">
        <w:rPr>
          <w:rFonts w:ascii="Times New Roman" w:hAnsi="Times New Roman" w:cs="Times New Roman"/>
          <w:sz w:val="28"/>
          <w:szCs w:val="28"/>
        </w:rPr>
        <w:t>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измененной информации, указанной в </w:t>
      </w:r>
      <w:hyperlink r:id="rId32" w:history="1">
        <w:r w:rsidRPr="002E146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 и </w:t>
      </w:r>
      <w:hyperlink r:id="rId33" w:history="1">
        <w:r w:rsidRPr="002E14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ранее образованные реестровые записи обновляются.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проверки, указанной в </w:t>
      </w:r>
      <w:hyperlink w:anchor="Par0" w:history="1">
        <w:r w:rsidRPr="002E146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19 настоящего Порядка, информация, представленная участником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 xml:space="preserve">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B051C" w:rsidRPr="00977E8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1F38A6">
        <w:rPr>
          <w:rFonts w:ascii="Times New Roman" w:hAnsi="Times New Roman" w:cs="Times New Roman"/>
          <w:sz w:val="28"/>
          <w:szCs w:val="28"/>
        </w:rPr>
        <w:t>Борзинс</w:t>
      </w:r>
      <w:r w:rsidR="00BB051C" w:rsidRPr="00977E85">
        <w:rPr>
          <w:rFonts w:ascii="Times New Roman" w:hAnsi="Times New Roman" w:cs="Times New Roman"/>
          <w:sz w:val="28"/>
          <w:szCs w:val="28"/>
        </w:rPr>
        <w:t>кое»</w:t>
      </w:r>
      <w:r w:rsidR="00BB051C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4" w:history="1">
        <w:r w:rsidRPr="002E146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E1464">
        <w:rPr>
          <w:rFonts w:ascii="Times New Roman" w:hAnsi="Times New Roman" w:cs="Times New Roman"/>
          <w:sz w:val="28"/>
          <w:szCs w:val="28"/>
        </w:rPr>
        <w:t xml:space="preserve">1 и </w:t>
      </w:r>
      <w:hyperlink r:id="rId35" w:history="1">
        <w:r w:rsidRPr="002E146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E1464">
        <w:rPr>
          <w:rFonts w:ascii="Times New Roman" w:hAnsi="Times New Roman" w:cs="Times New Roman"/>
          <w:sz w:val="28"/>
          <w:szCs w:val="28"/>
        </w:rPr>
        <w:t>2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21. В случае получения предусмотренного пунктом 20 настоящего Порядка протокола, участник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 xml:space="preserve">процесса ведения реестра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B051C" w:rsidRPr="00977E8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D5471A">
        <w:rPr>
          <w:rFonts w:ascii="Times New Roman" w:hAnsi="Times New Roman" w:cs="Times New Roman"/>
          <w:sz w:val="28"/>
          <w:szCs w:val="28"/>
        </w:rPr>
        <w:t>Борзинск</w:t>
      </w:r>
      <w:r w:rsidR="00BB051C" w:rsidRPr="00977E85">
        <w:rPr>
          <w:rFonts w:ascii="Times New Roman" w:hAnsi="Times New Roman" w:cs="Times New Roman"/>
          <w:sz w:val="28"/>
          <w:szCs w:val="28"/>
        </w:rPr>
        <w:t>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22. Уникальный номер реестровой записи источника дохода бюджета реестра источников доходов бюджета имеет следующую структуру: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lastRenderedPageBreak/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21 разряд – код признака назначения использования реестровой записи источника дохода бюджета реестра источников доходов бюджета, принимающий следующие значения: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1 – в рамках исполнения закона о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0 – в рамках составления и утверждения закона о бюджете;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22, 23 разряды – последние две цифры года формирования реестровой записи источника дохода бюджета реестра источников доходов бюджета, в случае если 21 разряд принимает значение 1, или последние две цифры очередного финансового года, на который составляется закон о соответствующем бюджете, в случае если 21 разряд принимает значение 0;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24, 25, 26, 27 разряды – порядковый номер версии реестровой записи источника дохода бюджета реестра источников доходов бюджета.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23.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1, 2, 3, 4, 5 разряды – коды группы дохода, подгруппы дохода и элемента дохода,  коды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вида доходов бюджета классификации доходов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бюджета, соответствующие источнику дохода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21, 22, 23, 24, 25, 26, 27, 28 разряды –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29 разряд – код 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признака  назначения использования реестровой записи платежа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30, 31 разряды –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2E1464" w:rsidRPr="002E1464" w:rsidRDefault="002E1464" w:rsidP="002E1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32, 33, 34, 35 разряды – порядковый номер версии реестровой записи платежа по источнику дохода бюджета реестра источников доходов бюджета.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 xml:space="preserve">24. Реестр источников доходов бюджета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5471A">
        <w:rPr>
          <w:rFonts w:ascii="Times New Roman" w:hAnsi="Times New Roman" w:cs="Times New Roman"/>
          <w:sz w:val="28"/>
          <w:szCs w:val="28"/>
        </w:rPr>
        <w:t>Борзин</w:t>
      </w:r>
      <w:r w:rsidR="00BB051C" w:rsidRPr="00977E85">
        <w:rPr>
          <w:rFonts w:ascii="Times New Roman" w:hAnsi="Times New Roman" w:cs="Times New Roman"/>
          <w:sz w:val="28"/>
          <w:szCs w:val="28"/>
        </w:rPr>
        <w:t>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направляется в составе документов и материалов, представляемых одновременно с проектом закона о соответствующем бюджете </w:t>
      </w:r>
      <w:r w:rsidRPr="002E1464">
        <w:rPr>
          <w:rFonts w:ascii="Times New Roman" w:hAnsi="Times New Roman" w:cs="Times New Roman"/>
          <w:sz w:val="28"/>
          <w:szCs w:val="28"/>
        </w:rPr>
        <w:lastRenderedPageBreak/>
        <w:t xml:space="preserve">в Совет </w:t>
      </w:r>
      <w:r w:rsidR="00BB051C" w:rsidRPr="00977E85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D5471A">
        <w:rPr>
          <w:rFonts w:ascii="Times New Roman" w:hAnsi="Times New Roman" w:cs="Times New Roman"/>
          <w:sz w:val="28"/>
          <w:szCs w:val="28"/>
        </w:rPr>
        <w:t>Борзин</w:t>
      </w:r>
      <w:r w:rsidR="00BB051C" w:rsidRPr="00977E85">
        <w:rPr>
          <w:rFonts w:ascii="Times New Roman" w:hAnsi="Times New Roman" w:cs="Times New Roman"/>
          <w:sz w:val="28"/>
          <w:szCs w:val="28"/>
        </w:rPr>
        <w:t>ское»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7F61AB">
        <w:rPr>
          <w:rFonts w:ascii="Times New Roman" w:hAnsi="Times New Roman" w:cs="Times New Roman"/>
          <w:sz w:val="28"/>
          <w:szCs w:val="28"/>
        </w:rPr>
        <w:t>являющейся Приложением №1 к настоящему Порядку.</w:t>
      </w:r>
    </w:p>
    <w:p w:rsidR="002E1464" w:rsidRPr="002E1464" w:rsidRDefault="002E1464" w:rsidP="002E146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464">
        <w:rPr>
          <w:rFonts w:ascii="Times New Roman" w:hAnsi="Times New Roman" w:cs="Times New Roman"/>
          <w:sz w:val="28"/>
          <w:szCs w:val="28"/>
        </w:rPr>
        <w:t>25. Реестр источников доходов  бюджета  и</w:t>
      </w:r>
      <w:r w:rsidR="00BB051C">
        <w:rPr>
          <w:rFonts w:ascii="Times New Roman" w:hAnsi="Times New Roman" w:cs="Times New Roman"/>
          <w:sz w:val="28"/>
          <w:szCs w:val="28"/>
        </w:rPr>
        <w:t xml:space="preserve"> </w:t>
      </w:r>
      <w:r w:rsidRPr="002E1464">
        <w:rPr>
          <w:rFonts w:ascii="Times New Roman" w:hAnsi="Times New Roman" w:cs="Times New Roman"/>
          <w:sz w:val="28"/>
          <w:szCs w:val="28"/>
        </w:rPr>
        <w:t xml:space="preserve"> свод реест</w:t>
      </w:r>
      <w:r w:rsidR="007F61AB">
        <w:rPr>
          <w:rFonts w:ascii="Times New Roman" w:hAnsi="Times New Roman" w:cs="Times New Roman"/>
          <w:sz w:val="28"/>
          <w:szCs w:val="28"/>
        </w:rPr>
        <w:t>ров источников доходов  бюджета</w:t>
      </w:r>
      <w:r w:rsidRPr="002E1464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F61AB">
        <w:rPr>
          <w:rFonts w:ascii="Times New Roman" w:hAnsi="Times New Roman" w:cs="Times New Roman"/>
          <w:sz w:val="28"/>
          <w:szCs w:val="28"/>
        </w:rPr>
        <w:t>ого поселения</w:t>
      </w:r>
      <w:r w:rsidR="00D5471A">
        <w:rPr>
          <w:rFonts w:ascii="Times New Roman" w:hAnsi="Times New Roman" w:cs="Times New Roman"/>
          <w:sz w:val="28"/>
          <w:szCs w:val="28"/>
        </w:rPr>
        <w:t xml:space="preserve"> «Борзинское»</w:t>
      </w:r>
      <w:proofErr w:type="gramStart"/>
      <w:r w:rsidRPr="002E146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E1464">
        <w:rPr>
          <w:rFonts w:ascii="Times New Roman" w:hAnsi="Times New Roman" w:cs="Times New Roman"/>
          <w:sz w:val="28"/>
          <w:szCs w:val="28"/>
        </w:rPr>
        <w:t xml:space="preserve">редоставляются в </w:t>
      </w:r>
      <w:r w:rsidR="007F61AB">
        <w:rPr>
          <w:rFonts w:ascii="Times New Roman" w:hAnsi="Times New Roman" w:cs="Times New Roman"/>
          <w:sz w:val="28"/>
          <w:szCs w:val="28"/>
        </w:rPr>
        <w:t>Комитет по</w:t>
      </w:r>
      <w:r w:rsidRPr="002E1464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7F61AB">
        <w:rPr>
          <w:rFonts w:ascii="Times New Roman" w:hAnsi="Times New Roman" w:cs="Times New Roman"/>
          <w:sz w:val="28"/>
          <w:szCs w:val="28"/>
        </w:rPr>
        <w:t>ам муниципального района «Борзинский район»</w:t>
      </w:r>
      <w:r w:rsidRPr="002E1464">
        <w:rPr>
          <w:rFonts w:ascii="Times New Roman" w:hAnsi="Times New Roman" w:cs="Times New Roman"/>
          <w:sz w:val="28"/>
          <w:szCs w:val="28"/>
        </w:rPr>
        <w:t xml:space="preserve"> в порядке, установленном  Министерством финансов Российской Федерации.</w:t>
      </w:r>
    </w:p>
    <w:p w:rsidR="002E1464" w:rsidRDefault="002E1464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Pr="00CB71CE" w:rsidRDefault="00CB71CE" w:rsidP="00CB71CE">
      <w:pPr>
        <w:pStyle w:val="23"/>
        <w:shd w:val="clear" w:color="auto" w:fill="auto"/>
        <w:spacing w:before="0" w:after="0" w:line="322" w:lineRule="exact"/>
        <w:jc w:val="right"/>
        <w:rPr>
          <w:color w:val="000000"/>
          <w:sz w:val="24"/>
          <w:szCs w:val="24"/>
        </w:rPr>
      </w:pPr>
      <w:r w:rsidRPr="00CB71CE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CB71CE">
        <w:rPr>
          <w:color w:val="000000"/>
          <w:sz w:val="24"/>
          <w:szCs w:val="24"/>
        </w:rPr>
        <w:t>Приложение № 1</w:t>
      </w:r>
    </w:p>
    <w:p w:rsidR="00CB71CE" w:rsidRPr="00CB71CE" w:rsidRDefault="00CB71CE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CB71CE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 </w:t>
      </w:r>
      <w:r w:rsidRPr="00CB71CE">
        <w:rPr>
          <w:color w:val="000000"/>
          <w:sz w:val="24"/>
          <w:szCs w:val="24"/>
        </w:rPr>
        <w:t xml:space="preserve">к </w:t>
      </w:r>
      <w:r w:rsidRPr="00CB71CE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   </w:t>
      </w:r>
    </w:p>
    <w:p w:rsidR="00CB71CE" w:rsidRDefault="00CB71CE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реестра источников доходов бюджета          </w:t>
      </w:r>
    </w:p>
    <w:p w:rsidR="00F27BDC" w:rsidRDefault="00CB71CE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городского поселения «Борзинское»</w:t>
      </w:r>
      <w:r w:rsidR="00F27BDC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B71CE" w:rsidRDefault="00F27BDC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="005012C2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AE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191AE8" w:rsidRDefault="00191AE8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91AE8" w:rsidRDefault="00191AE8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поселения «Борзинское» </w:t>
      </w:r>
    </w:p>
    <w:p w:rsidR="00191AE8" w:rsidRPr="00D60EA5" w:rsidRDefault="00191AE8" w:rsidP="00CB71CE">
      <w:pPr>
        <w:spacing w:after="0"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«___» _________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</w:p>
    <w:p w:rsidR="005E6EF4" w:rsidRDefault="005E6EF4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5E6EF4" w:rsidRDefault="005E6EF4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источников доходов местных бюджетов</w:t>
      </w:r>
    </w:p>
    <w:p w:rsidR="005E6EF4" w:rsidRDefault="005E6EF4" w:rsidP="005E6EF4">
      <w:pPr>
        <w:pStyle w:val="23"/>
        <w:shd w:val="clear" w:color="auto" w:fill="auto"/>
        <w:spacing w:before="0" w:after="0" w:line="322" w:lineRule="exact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1407"/>
        <w:gridCol w:w="1408"/>
        <w:gridCol w:w="1408"/>
        <w:gridCol w:w="1533"/>
        <w:gridCol w:w="1408"/>
        <w:gridCol w:w="1408"/>
      </w:tblGrid>
      <w:tr w:rsidR="0039613C" w:rsidTr="0039613C">
        <w:tc>
          <w:tcPr>
            <w:tcW w:w="817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color w:val="000000"/>
                <w:sz w:val="24"/>
                <w:szCs w:val="24"/>
              </w:rPr>
              <w:t>стро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07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классифи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кации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1408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кода </w:t>
            </w:r>
            <w:proofErr w:type="spellStart"/>
            <w:r>
              <w:rPr>
                <w:color w:val="000000"/>
                <w:sz w:val="24"/>
                <w:szCs w:val="24"/>
              </w:rPr>
              <w:t>классифи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кации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доходов бюджета </w:t>
            </w:r>
          </w:p>
        </w:tc>
        <w:tc>
          <w:tcPr>
            <w:tcW w:w="1408" w:type="dxa"/>
            <w:vMerge w:val="restart"/>
          </w:tcPr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</w:t>
            </w:r>
            <w:proofErr w:type="spellEnd"/>
          </w:p>
          <w:p w:rsid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главного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админис-тратора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дохода бюджета</w:t>
            </w:r>
          </w:p>
        </w:tc>
        <w:tc>
          <w:tcPr>
            <w:tcW w:w="4349" w:type="dxa"/>
            <w:gridSpan w:val="3"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Показатели прогноза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бюджета</w:t>
            </w:r>
            <w:proofErr w:type="gramStart"/>
            <w:r>
              <w:rPr>
                <w:color w:val="000000"/>
                <w:sz w:val="24"/>
                <w:szCs w:val="24"/>
              </w:rPr>
              <w:t>,т</w:t>
            </w:r>
            <w:proofErr w:type="gramEnd"/>
            <w:r>
              <w:rPr>
                <w:color w:val="000000"/>
                <w:sz w:val="24"/>
                <w:szCs w:val="24"/>
              </w:rPr>
              <w:t>ыс.рублей</w:t>
            </w:r>
            <w:proofErr w:type="spellEnd"/>
          </w:p>
        </w:tc>
      </w:tr>
      <w:tr w:rsidR="0039613C" w:rsidTr="0039613C">
        <w:tc>
          <w:tcPr>
            <w:tcW w:w="817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613C" w:rsidRPr="005E6EF4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39613C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</w:t>
            </w:r>
          </w:p>
          <w:p w:rsidR="0039613C" w:rsidRPr="005E6EF4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08" w:type="dxa"/>
          </w:tcPr>
          <w:p w:rsidR="0039613C" w:rsidRPr="005E6EF4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408" w:type="dxa"/>
          </w:tcPr>
          <w:p w:rsidR="0039613C" w:rsidRPr="005E6EF4" w:rsidRDefault="0039613C" w:rsidP="0039613C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второй год планового периода</w:t>
            </w:r>
          </w:p>
        </w:tc>
      </w:tr>
      <w:tr w:rsidR="005E6EF4" w:rsidTr="0039613C">
        <w:tc>
          <w:tcPr>
            <w:tcW w:w="817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6EF4" w:rsidRP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</w:p>
        </w:tc>
      </w:tr>
      <w:tr w:rsidR="005E6EF4" w:rsidTr="0039613C">
        <w:tc>
          <w:tcPr>
            <w:tcW w:w="817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</w:tcPr>
          <w:p w:rsidR="005E6EF4" w:rsidRPr="0039613C" w:rsidRDefault="0039613C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4"/>
                <w:szCs w:val="24"/>
              </w:rPr>
            </w:pPr>
            <w:r w:rsidRPr="0039613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5E6EF4" w:rsidRDefault="005E6EF4" w:rsidP="005E6EF4">
            <w:pPr>
              <w:pStyle w:val="23"/>
              <w:shd w:val="clear" w:color="auto" w:fill="auto"/>
              <w:spacing w:before="0" w:after="0" w:line="322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5E6EF4" w:rsidRDefault="005E6EF4" w:rsidP="005E6EF4">
      <w:pPr>
        <w:pStyle w:val="23"/>
        <w:shd w:val="clear" w:color="auto" w:fill="auto"/>
        <w:spacing w:before="0" w:after="0" w:line="322" w:lineRule="exact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p w:rsidR="00CB71CE" w:rsidRDefault="00CB71CE" w:rsidP="00883DD0">
      <w:pPr>
        <w:pStyle w:val="2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</w:rPr>
      </w:pPr>
    </w:p>
    <w:sectPr w:rsidR="00CB71CE" w:rsidSect="00BD297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FB6"/>
    <w:multiLevelType w:val="hybridMultilevel"/>
    <w:tmpl w:val="7450BC80"/>
    <w:lvl w:ilvl="0" w:tplc="4D3665D8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6CDB"/>
    <w:rsid w:val="0000707D"/>
    <w:rsid w:val="00011351"/>
    <w:rsid w:val="000574F5"/>
    <w:rsid w:val="000B484F"/>
    <w:rsid w:val="000C6C72"/>
    <w:rsid w:val="0011529F"/>
    <w:rsid w:val="0013038E"/>
    <w:rsid w:val="00175038"/>
    <w:rsid w:val="001765D8"/>
    <w:rsid w:val="0019080D"/>
    <w:rsid w:val="00191AE8"/>
    <w:rsid w:val="001D2C8A"/>
    <w:rsid w:val="001F38A6"/>
    <w:rsid w:val="001F6CDB"/>
    <w:rsid w:val="002A19CF"/>
    <w:rsid w:val="002B74D1"/>
    <w:rsid w:val="002E1464"/>
    <w:rsid w:val="0036182E"/>
    <w:rsid w:val="0039613C"/>
    <w:rsid w:val="00405524"/>
    <w:rsid w:val="004379FF"/>
    <w:rsid w:val="004B30FD"/>
    <w:rsid w:val="005012C2"/>
    <w:rsid w:val="00537BFC"/>
    <w:rsid w:val="005545F3"/>
    <w:rsid w:val="005B4F15"/>
    <w:rsid w:val="005E6EF4"/>
    <w:rsid w:val="00612356"/>
    <w:rsid w:val="00627A5A"/>
    <w:rsid w:val="006452A3"/>
    <w:rsid w:val="00671FC9"/>
    <w:rsid w:val="007F61AB"/>
    <w:rsid w:val="00883DD0"/>
    <w:rsid w:val="0094364D"/>
    <w:rsid w:val="00977E85"/>
    <w:rsid w:val="009B15C1"/>
    <w:rsid w:val="009B755C"/>
    <w:rsid w:val="009D2DFD"/>
    <w:rsid w:val="00AB201D"/>
    <w:rsid w:val="00AB39B4"/>
    <w:rsid w:val="00AF118A"/>
    <w:rsid w:val="00B227AD"/>
    <w:rsid w:val="00B9322E"/>
    <w:rsid w:val="00BB051C"/>
    <w:rsid w:val="00BC30CE"/>
    <w:rsid w:val="00BD297A"/>
    <w:rsid w:val="00C637D1"/>
    <w:rsid w:val="00C7382C"/>
    <w:rsid w:val="00C8085B"/>
    <w:rsid w:val="00CB71CE"/>
    <w:rsid w:val="00CE61B1"/>
    <w:rsid w:val="00D5471A"/>
    <w:rsid w:val="00D60EA5"/>
    <w:rsid w:val="00D90FDB"/>
    <w:rsid w:val="00DA2DAB"/>
    <w:rsid w:val="00DC0365"/>
    <w:rsid w:val="00DF26E3"/>
    <w:rsid w:val="00EA79F9"/>
    <w:rsid w:val="00F03F0E"/>
    <w:rsid w:val="00F27BDC"/>
    <w:rsid w:val="00F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6CDB"/>
    <w:rPr>
      <w:rFonts w:ascii="Times New Roman" w:eastAsia="Times New Roman" w:hAnsi="Times New Roman" w:cs="Times New Roman"/>
      <w:b/>
      <w:bCs/>
      <w:spacing w:val="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CDB"/>
    <w:pPr>
      <w:widowControl w:val="0"/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8"/>
      <w:szCs w:val="28"/>
    </w:rPr>
  </w:style>
  <w:style w:type="character" w:customStyle="1" w:styleId="1">
    <w:name w:val="Заголовок №1_"/>
    <w:basedOn w:val="a0"/>
    <w:link w:val="10"/>
    <w:rsid w:val="001F6CDB"/>
    <w:rPr>
      <w:rFonts w:ascii="Times New Roman" w:eastAsia="Times New Roman" w:hAnsi="Times New Roman" w:cs="Times New Roman"/>
      <w:b/>
      <w:bCs/>
      <w:spacing w:val="-4"/>
      <w:sz w:val="41"/>
      <w:szCs w:val="41"/>
      <w:shd w:val="clear" w:color="auto" w:fill="FFFFFF"/>
    </w:rPr>
  </w:style>
  <w:style w:type="paragraph" w:customStyle="1" w:styleId="10">
    <w:name w:val="Заголовок №1"/>
    <w:basedOn w:val="a"/>
    <w:link w:val="1"/>
    <w:rsid w:val="001F6CDB"/>
    <w:pPr>
      <w:widowControl w:val="0"/>
      <w:shd w:val="clear" w:color="auto" w:fill="FFFFFF"/>
      <w:spacing w:before="78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1"/>
      <w:szCs w:val="41"/>
    </w:rPr>
  </w:style>
  <w:style w:type="character" w:customStyle="1" w:styleId="21">
    <w:name w:val="Заголовок №2_"/>
    <w:basedOn w:val="a0"/>
    <w:link w:val="22"/>
    <w:rsid w:val="001F6CDB"/>
    <w:rPr>
      <w:rFonts w:ascii="Times New Roman" w:eastAsia="Times New Roman" w:hAnsi="Times New Roman" w:cs="Times New Roman"/>
      <w:spacing w:val="4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1F6CDB"/>
    <w:pPr>
      <w:widowControl w:val="0"/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4"/>
      <w:sz w:val="29"/>
      <w:szCs w:val="29"/>
    </w:rPr>
  </w:style>
  <w:style w:type="character" w:customStyle="1" w:styleId="a3">
    <w:name w:val="Основной текст_"/>
    <w:basedOn w:val="a0"/>
    <w:link w:val="23"/>
    <w:rsid w:val="001F6CDB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1F6CDB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1F6CDB"/>
    <w:rPr>
      <w:rFonts w:ascii="Times New Roman" w:eastAsia="Times New Roman" w:hAnsi="Times New Roman" w:cs="Times New Roman"/>
      <w:b/>
      <w:bCs/>
      <w:color w:val="000000"/>
      <w:spacing w:val="6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1F6CDB"/>
    <w:pPr>
      <w:widowControl w:val="0"/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0">
    <w:name w:val="Заголовок №3"/>
    <w:basedOn w:val="a"/>
    <w:link w:val="3"/>
    <w:rsid w:val="001F6CDB"/>
    <w:pPr>
      <w:widowControl w:val="0"/>
      <w:shd w:val="clear" w:color="auto" w:fill="FFFFFF"/>
      <w:spacing w:before="420" w:after="600" w:line="322" w:lineRule="exact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4">
    <w:name w:val="List Paragraph"/>
    <w:basedOn w:val="a"/>
    <w:uiPriority w:val="34"/>
    <w:qFormat/>
    <w:rsid w:val="009D2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9D2DFD"/>
    <w:pPr>
      <w:widowControl w:val="0"/>
      <w:shd w:val="clear" w:color="auto" w:fill="FFFFFF"/>
      <w:spacing w:after="420" w:line="0" w:lineRule="atLeast"/>
      <w:ind w:hanging="2720"/>
      <w:jc w:val="both"/>
    </w:pPr>
    <w:rPr>
      <w:rFonts w:ascii="Times New Roman" w:eastAsia="Times New Roman" w:hAnsi="Times New Roman" w:cs="Times New Roman"/>
      <w:spacing w:val="-6"/>
      <w:sz w:val="27"/>
      <w:szCs w:val="27"/>
      <w:lang w:eastAsia="ru-RU"/>
    </w:rPr>
  </w:style>
  <w:style w:type="paragraph" w:customStyle="1" w:styleId="ConsPlusNormal">
    <w:name w:val="ConsPlusNormal"/>
    <w:rsid w:val="002E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AF118A"/>
    <w:rPr>
      <w:color w:val="000080"/>
      <w:u w:val="single"/>
    </w:rPr>
  </w:style>
  <w:style w:type="paragraph" w:customStyle="1" w:styleId="31">
    <w:name w:val="Основной текст3"/>
    <w:basedOn w:val="a"/>
    <w:rsid w:val="00AF118A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rsid w:val="00AF11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F118A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AF118A"/>
    <w:pPr>
      <w:spacing w:after="120" w:line="240" w:lineRule="auto"/>
      <w:ind w:left="283"/>
    </w:pPr>
    <w:rPr>
      <w:rFonts w:ascii="Arial Unicode MS" w:eastAsia="Arial Unicode MS" w:hAnsi="Arial Unicode MS" w:cs="Times New Roman"/>
      <w:color w:val="000000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F118A"/>
    <w:rPr>
      <w:rFonts w:ascii="Arial Unicode MS" w:eastAsia="Arial Unicode MS" w:hAnsi="Arial Unicode MS" w:cs="Times New Roman"/>
      <w:color w:val="000000"/>
      <w:sz w:val="16"/>
      <w:szCs w:val="16"/>
    </w:rPr>
  </w:style>
  <w:style w:type="table" w:styleId="a8">
    <w:name w:val="Table Grid"/>
    <w:basedOn w:val="a1"/>
    <w:uiPriority w:val="59"/>
    <w:rsid w:val="005E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EI9R8F" TargetMode="External"/><Relationship Id="rId13" Type="http://schemas.openxmlformats.org/officeDocument/2006/relationships/hyperlink" Target="consultantplus://offline/ref=23F5F3F3D63F67D14629691C92C39B67738E68CA54252E1332E499561561EDDF04F4429D4F54346EI9RCF" TargetMode="External"/><Relationship Id="rId18" Type="http://schemas.openxmlformats.org/officeDocument/2006/relationships/hyperlink" Target="consultantplus://offline/ref=036667E31E5E27D1BFEB1794C70449EB6D69E7B85AA233B930FD9575223764F289BDACE7576AE59FA7h3F" TargetMode="External"/><Relationship Id="rId26" Type="http://schemas.openxmlformats.org/officeDocument/2006/relationships/hyperlink" Target="consultantplus://offline/ref=036667E31E5E27D1BFEB1794C70449EB6D69E7B85AA233B930FD9575223764F289BDACE7576AE59FA7h0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6667E31E5E27D1BFEB1794C70449EB6D69E7B85AA233B930FD9575223764F289BDACE7576AE59FA7h1F" TargetMode="External"/><Relationship Id="rId34" Type="http://schemas.openxmlformats.org/officeDocument/2006/relationships/hyperlink" Target="consultantplus://offline/ref=D0BCE705943F147E86F22049C0E2395EB5ECCBF6F0906D70B328B05B9E70C3A0F011C657C16C184As2v1I" TargetMode="External"/><Relationship Id="rId7" Type="http://schemas.openxmlformats.org/officeDocument/2006/relationships/hyperlink" Target="consultantplus://offline/ref=23F5F3F3D63F67D14629691C92C39B67738E68CA54252E1332E499561561EDDF04F4429D4F54346FI9R7F" TargetMode="External"/><Relationship Id="rId12" Type="http://schemas.openxmlformats.org/officeDocument/2006/relationships/hyperlink" Target="consultantplus://offline/ref=23F5F3F3D63F67D14629691C92C39B67738E68CA54252E1332E499561561EDDF04F4429D4F543567I9R8F" TargetMode="External"/><Relationship Id="rId17" Type="http://schemas.openxmlformats.org/officeDocument/2006/relationships/hyperlink" Target="consultantplus://offline/ref=036667E31E5E27D1BFEB1794C70449EB6D69E7B85AA233B930FD9575223764F289BDACE7576AE496A7h0F" TargetMode="External"/><Relationship Id="rId25" Type="http://schemas.openxmlformats.org/officeDocument/2006/relationships/hyperlink" Target="consultantplus://offline/ref=036667E31E5E27D1BFEB1794C70449EB6D69E7B85AA233B930FD9575223764F289BDACE7576AE496A7hBF" TargetMode="External"/><Relationship Id="rId33" Type="http://schemas.openxmlformats.org/officeDocument/2006/relationships/hyperlink" Target="consultantplus://offline/ref=D0BCE705943F147E86F22049C0E2395EB5ECCBF6F0906D70B328B05B9E70C3A0F011C657C16C184Bs2v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6667E31E5E27D1BFEB1794C70449EB6D69E7B85AA233B930FD9575223764F289BDACE7576AE59FA7h4F" TargetMode="External"/><Relationship Id="rId20" Type="http://schemas.openxmlformats.org/officeDocument/2006/relationships/hyperlink" Target="consultantplus://offline/ref=036667E31E5E27D1BFEB1794C70449EB6D69E7B85AA233B930FD9575223764F289BDACE7576AE59FA7h7F" TargetMode="External"/><Relationship Id="rId29" Type="http://schemas.openxmlformats.org/officeDocument/2006/relationships/hyperlink" Target="consultantplus://offline/ref=D0BCE705943F147E86F22049C0E2395EB5ECCBF6F0906D70B328B05B9E70C3A0F011C657C16C1940s2v1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F5F3F3D63F67D14629691C92C39B67738E68CA54252E1332E499561561EDDF04F4429D4F54346FI9RBF" TargetMode="External"/><Relationship Id="rId11" Type="http://schemas.openxmlformats.org/officeDocument/2006/relationships/hyperlink" Target="consultantplus://offline/ref=23F5F3F3D63F67D14629691C92C39B67738E68CA54252E1332E499561561EDDF04F4429D4F543567I9RAF" TargetMode="External"/><Relationship Id="rId24" Type="http://schemas.openxmlformats.org/officeDocument/2006/relationships/hyperlink" Target="consultantplus://offline/ref=036667E31E5E27D1BFEB1794C70449EB6D69E7B85AA233B930FD9575223764F289BDACE7576AE59EA7hAF" TargetMode="External"/><Relationship Id="rId32" Type="http://schemas.openxmlformats.org/officeDocument/2006/relationships/hyperlink" Target="consultantplus://offline/ref=D0BCE705943F147E86F22049C0E2395EB5ECCBF6F0906D70B328B05B9E70C3A0F011C657C16C184As2v1I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36667E31E5E27D1BFEB1794C70449EB6D69E7B85AA233B930FD9575223764F289BDACE7576AE59EA7hBF" TargetMode="External"/><Relationship Id="rId23" Type="http://schemas.openxmlformats.org/officeDocument/2006/relationships/hyperlink" Target="consultantplus://offline/ref=036667E31E5E27D1BFEB1794C70449EB6D69E7B85AA233B930FD9575223764F289BDACE7576AE496A7h4F" TargetMode="External"/><Relationship Id="rId28" Type="http://schemas.openxmlformats.org/officeDocument/2006/relationships/hyperlink" Target="consultantplus://offline/ref=036667E31E5E27D1BFEB1794C70449EB6D69E7B85AA233B930FD9575223764F289BDACE7576AE59FA7h5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3F5F3F3D63F67D14629691C92C39B67738E68CA54252E1332E499561561EDDF04F4429D4F54346EI9RDF" TargetMode="External"/><Relationship Id="rId19" Type="http://schemas.openxmlformats.org/officeDocument/2006/relationships/hyperlink" Target="consultantplus://offline/ref=036667E31E5E27D1BFEB1794C70449EB6D69E7B85AA233B930FD9575223764F289BDACE7576AE59FA7h2F" TargetMode="External"/><Relationship Id="rId31" Type="http://schemas.openxmlformats.org/officeDocument/2006/relationships/hyperlink" Target="consultantplus://offline/ref=D0BCE705943F147E86F22049C0E2395EB5ECCBF6F0906D70B328B05B9E70C3A0F011C657C16C184Bs2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5F3F3D63F67D14629691C92C39B67738E68CA54252E1332E499561561EDDF04F4429D4F54346FI9R6F" TargetMode="External"/><Relationship Id="rId14" Type="http://schemas.openxmlformats.org/officeDocument/2006/relationships/hyperlink" Target="consultantplus://offline/ref=036667E31E5E27D1BFEB1794C70449EB6D69E7B85AA233B930FD9575223764F289BDACE7576AE59EA7h7F" TargetMode="External"/><Relationship Id="rId22" Type="http://schemas.openxmlformats.org/officeDocument/2006/relationships/hyperlink" Target="consultantplus://offline/ref=036667E31E5E27D1BFEB1794C70449EB6D69E7B85AA233B930FD9575223764F289BDACE7576AE496A7h6F" TargetMode="External"/><Relationship Id="rId27" Type="http://schemas.openxmlformats.org/officeDocument/2006/relationships/hyperlink" Target="consultantplus://offline/ref=036667E31E5E27D1BFEB1794C70449EB6D69E7B85AA233B930FD9575223764F289BDACE7576AE59EA7h0F" TargetMode="External"/><Relationship Id="rId30" Type="http://schemas.openxmlformats.org/officeDocument/2006/relationships/hyperlink" Target="consultantplus://offline/ref=D0BCE705943F147E86F22049C0E2395EB5ECCBF6F0906D70B328B05B9E70C3A0F011C657C16C184As2v1I" TargetMode="External"/><Relationship Id="rId35" Type="http://schemas.openxmlformats.org/officeDocument/2006/relationships/hyperlink" Target="consultantplus://offline/ref=D0BCE705943F147E86F22049C0E2395EB5ECCBF6F0906D70B328B05B9E70C3A0F011C657C16C184Bs2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Сандукова Наталья Нимаевна</dc:creator>
  <cp:lastModifiedBy>RePack by SPecialiST</cp:lastModifiedBy>
  <cp:revision>23</cp:revision>
  <cp:lastPrinted>2019-03-27T02:02:00Z</cp:lastPrinted>
  <dcterms:created xsi:type="dcterms:W3CDTF">2019-03-24T23:32:00Z</dcterms:created>
  <dcterms:modified xsi:type="dcterms:W3CDTF">2019-03-27T07:21:00Z</dcterms:modified>
</cp:coreProperties>
</file>