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154224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D7EF3">
        <w:rPr>
          <w:szCs w:val="28"/>
        </w:rPr>
        <w:t>26</w:t>
      </w:r>
      <w:r w:rsidRPr="00691662">
        <w:rPr>
          <w:szCs w:val="28"/>
        </w:rPr>
        <w:t xml:space="preserve">» </w:t>
      </w:r>
      <w:r w:rsidR="005D7EF3">
        <w:rPr>
          <w:szCs w:val="28"/>
        </w:rPr>
        <w:t>октября</w:t>
      </w:r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CF3D9D">
        <w:rPr>
          <w:szCs w:val="28"/>
        </w:rPr>
        <w:t>6</w:t>
      </w:r>
      <w:r w:rsidRPr="00691662">
        <w:rPr>
          <w:szCs w:val="28"/>
        </w:rPr>
        <w:t xml:space="preserve">г.                                                                  № </w:t>
      </w:r>
      <w:r w:rsidR="005D7EF3">
        <w:rPr>
          <w:szCs w:val="28"/>
        </w:rPr>
        <w:t>1039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2572F8" w:rsidRDefault="00FF2512" w:rsidP="00691662">
      <w:pPr>
        <w:rPr>
          <w:szCs w:val="28"/>
        </w:rPr>
      </w:pPr>
      <w:r w:rsidRPr="00FF2512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B50703" w:rsidRPr="00B50703">
        <w:rPr>
          <w:b/>
          <w:bCs/>
          <w:szCs w:val="28"/>
        </w:rPr>
        <w:t>Предоставление разрешения на условно разрешенный вид использования земельного участка</w:t>
      </w:r>
      <w:r w:rsidRPr="00FF2512">
        <w:rPr>
          <w:b/>
          <w:bCs/>
          <w:szCs w:val="28"/>
        </w:rPr>
        <w:t>» в новой редакции</w:t>
      </w:r>
    </w:p>
    <w:p w:rsidR="007E1DE1" w:rsidRPr="00691662" w:rsidRDefault="007E1DE1" w:rsidP="00691662">
      <w:pPr>
        <w:rPr>
          <w:szCs w:val="28"/>
        </w:rPr>
      </w:pPr>
    </w:p>
    <w:p w:rsidR="007E1DE1" w:rsidRPr="007E1DE1" w:rsidRDefault="00FF2512" w:rsidP="007E1DE1">
      <w:pPr>
        <w:ind w:firstLine="708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 xml:space="preserve">статьей </w:t>
      </w:r>
      <w:r w:rsidR="00B50703">
        <w:rPr>
          <w:szCs w:val="28"/>
        </w:rPr>
        <w:t>39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410DF3" w:rsidRPr="00410DF3">
        <w:rPr>
          <w:szCs w:val="28"/>
        </w:rPr>
        <w:t xml:space="preserve">Постановлением Правительства РФ от 30.04.2014 N 403 "Об исчерпывающем перечне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постановляет:</w:t>
      </w: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 «</w:t>
      </w:r>
      <w:r w:rsidR="00B50703" w:rsidRPr="00B50703">
        <w:rPr>
          <w:bCs/>
          <w:szCs w:val="28"/>
        </w:rPr>
        <w:t>Предоставление разрешения на условно разрешенный вид использования земельного участка</w:t>
      </w:r>
      <w:r w:rsidRPr="00FF2512">
        <w:rPr>
          <w:bCs/>
          <w:szCs w:val="28"/>
        </w:rPr>
        <w:t>» администрацией городского поселения «Борзинское» в новой редакции.</w:t>
      </w:r>
    </w:p>
    <w:p w:rsidR="00FF2512" w:rsidRPr="00FF2512" w:rsidRDefault="00FF2512" w:rsidP="00CF3D9D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CF3D9D">
        <w:rPr>
          <w:bCs/>
          <w:szCs w:val="28"/>
        </w:rPr>
        <w:t>1003</w:t>
      </w:r>
      <w:r w:rsidRPr="00FF2512">
        <w:rPr>
          <w:bCs/>
          <w:szCs w:val="28"/>
        </w:rPr>
        <w:t xml:space="preserve">  от </w:t>
      </w:r>
      <w:r w:rsidR="00CF3D9D">
        <w:rPr>
          <w:bCs/>
          <w:szCs w:val="28"/>
        </w:rPr>
        <w:t>10 декабря</w:t>
      </w:r>
      <w:r w:rsidRPr="00FF2512">
        <w:rPr>
          <w:bCs/>
          <w:szCs w:val="28"/>
        </w:rPr>
        <w:t xml:space="preserve"> 201</w:t>
      </w:r>
      <w:r w:rsidR="00CF3D9D">
        <w:rPr>
          <w:bCs/>
          <w:szCs w:val="28"/>
        </w:rPr>
        <w:t>5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CF3D9D">
        <w:rPr>
          <w:bCs/>
          <w:szCs w:val="28"/>
        </w:rPr>
        <w:t>Выдача</w:t>
      </w:r>
      <w:r w:rsidR="00B50703" w:rsidRPr="00B50703">
        <w:rPr>
          <w:bCs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CF3D9D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CF3D9D">
        <w:rPr>
          <w:bCs/>
          <w:szCs w:val="28"/>
        </w:rPr>
        <w:t>с момента</w:t>
      </w:r>
      <w:r w:rsidRPr="00FF2512">
        <w:rPr>
          <w:bCs/>
          <w:szCs w:val="28"/>
        </w:rPr>
        <w:t xml:space="preserve"> его официального опубликования (обнародования)</w:t>
      </w:r>
      <w:r w:rsidR="00CF3D9D" w:rsidRPr="00CF3D9D">
        <w:t xml:space="preserve"> </w:t>
      </w:r>
      <w:r w:rsidR="00CF3D9D" w:rsidRPr="00CF3D9D">
        <w:rPr>
          <w:bCs/>
          <w:szCs w:val="28"/>
        </w:rPr>
        <w:t>на официальном сайте</w:t>
      </w:r>
      <w:r w:rsidR="00CF3D9D">
        <w:rPr>
          <w:bCs/>
          <w:szCs w:val="28"/>
        </w:rPr>
        <w:t xml:space="preserve"> администрации городского поселения «Борзинское»</w:t>
      </w:r>
      <w:r w:rsidRPr="00FF2512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CF3D9D" w:rsidRDefault="00CF3D9D" w:rsidP="008412D7">
      <w:pPr>
        <w:jc w:val="both"/>
        <w:rPr>
          <w:szCs w:val="28"/>
        </w:rPr>
      </w:pPr>
    </w:p>
    <w:p w:rsidR="00CF3D9D" w:rsidRDefault="00CF3D9D" w:rsidP="008412D7">
      <w:pPr>
        <w:jc w:val="both"/>
        <w:rPr>
          <w:szCs w:val="28"/>
        </w:rPr>
      </w:pPr>
    </w:p>
    <w:p w:rsidR="00CF3D9D" w:rsidRDefault="00CF3D9D" w:rsidP="008412D7">
      <w:pPr>
        <w:jc w:val="both"/>
        <w:rPr>
          <w:szCs w:val="28"/>
        </w:rPr>
      </w:pPr>
    </w:p>
    <w:p w:rsidR="00C23207" w:rsidRPr="00691662" w:rsidRDefault="00CF3D9D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 w:rsidR="00A67D85" w:rsidRPr="00691662">
        <w:rPr>
          <w:szCs w:val="28"/>
        </w:rPr>
        <w:t xml:space="preserve">       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left="5500"/>
        <w:jc w:val="right"/>
        <w:outlineLvl w:val="0"/>
        <w:rPr>
          <w:szCs w:val="28"/>
        </w:rPr>
      </w:pP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154224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B71A0D" w:rsidRDefault="00B71A0D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B71A0D" w:rsidRPr="0079717D" w:rsidRDefault="00B71A0D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 </w:t>
                  </w:r>
                  <w:r w:rsidR="005D7EF3">
                    <w:rPr>
                      <w:szCs w:val="28"/>
                    </w:rPr>
                    <w:t>1039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5D7EF3">
                    <w:rPr>
                      <w:szCs w:val="28"/>
                    </w:rPr>
                    <w:t>26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5D7EF3">
                    <w:rPr>
                      <w:szCs w:val="28"/>
                    </w:rPr>
                    <w:t>октября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CF3D9D">
                    <w:rPr>
                      <w:szCs w:val="28"/>
                    </w:rPr>
                    <w:t>6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B50703" w:rsidRPr="00B50703" w:rsidRDefault="00B50703" w:rsidP="00B50703">
      <w:pPr>
        <w:jc w:val="center"/>
        <w:rPr>
          <w:b/>
          <w:bCs/>
          <w:color w:val="1D5586"/>
          <w:szCs w:val="28"/>
        </w:rPr>
      </w:pPr>
      <w:r w:rsidRPr="00B50703">
        <w:rPr>
          <w:b/>
          <w:szCs w:val="28"/>
        </w:rPr>
        <w:t xml:space="preserve"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</w:t>
      </w:r>
    </w:p>
    <w:p w:rsidR="00B50703" w:rsidRPr="00B50703" w:rsidRDefault="00B50703" w:rsidP="00B50703">
      <w:pPr>
        <w:spacing w:line="360" w:lineRule="auto"/>
        <w:ind w:left="3336" w:firstLine="204"/>
        <w:rPr>
          <w:b/>
          <w:szCs w:val="28"/>
        </w:rPr>
      </w:pPr>
    </w:p>
    <w:p w:rsidR="00B50703" w:rsidRPr="00B50703" w:rsidRDefault="00B50703" w:rsidP="00B50703">
      <w:pPr>
        <w:spacing w:line="360" w:lineRule="auto"/>
        <w:ind w:firstLine="709"/>
        <w:jc w:val="center"/>
        <w:rPr>
          <w:b/>
          <w:szCs w:val="28"/>
        </w:rPr>
      </w:pPr>
      <w:r w:rsidRPr="00B50703">
        <w:rPr>
          <w:b/>
          <w:szCs w:val="28"/>
        </w:rPr>
        <w:t>1. Общие положения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b/>
          <w:szCs w:val="28"/>
        </w:rPr>
      </w:pPr>
      <w:r w:rsidRPr="00B50703">
        <w:rPr>
          <w:szCs w:val="28"/>
        </w:rPr>
        <w:t>1.1.</w:t>
      </w:r>
      <w:r w:rsidRPr="00B50703">
        <w:rPr>
          <w:b/>
          <w:szCs w:val="28"/>
        </w:rPr>
        <w:t xml:space="preserve"> </w:t>
      </w:r>
      <w:r w:rsidRPr="00B50703">
        <w:rPr>
          <w:szCs w:val="28"/>
        </w:rPr>
        <w:t>Предмет регулирования регламента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условно разрешенный вид использования земельного участка» (далее – муниципальная услуга) разработан в целях: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по предоставлению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1.2. Круг заявителей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 Требования к порядку информирования о предоставлении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1.3.1. Информацию о порядке предоставления муниципальной услуге можно получить: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1) по месту нахождения уполномоченного органа администрации городского поселения «Борзинское» по адресу: Забайкальский край г. Борзя ул. </w:t>
      </w:r>
      <w:r>
        <w:rPr>
          <w:szCs w:val="28"/>
        </w:rPr>
        <w:t>Савватеевская, 23</w:t>
      </w:r>
      <w:r w:rsidR="001241C6">
        <w:rPr>
          <w:szCs w:val="28"/>
        </w:rPr>
        <w:t xml:space="preserve"> каб. 31</w:t>
      </w:r>
      <w:r>
        <w:rPr>
          <w:szCs w:val="28"/>
        </w:rPr>
        <w:t xml:space="preserve">, </w:t>
      </w:r>
      <w:r w:rsidRPr="00B50703">
        <w:t xml:space="preserve"> </w:t>
      </w:r>
      <w:r w:rsidRPr="00B50703">
        <w:rPr>
          <w:szCs w:val="28"/>
        </w:rPr>
        <w:t xml:space="preserve">а также по </w:t>
      </w:r>
      <w:r w:rsidR="001241C6" w:rsidRPr="001241C6">
        <w:rPr>
          <w:szCs w:val="28"/>
        </w:rPr>
        <w:t>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 по телефонам (30 233) 3 35 83</w:t>
      </w:r>
      <w:r w:rsidR="001241C6">
        <w:rPr>
          <w:szCs w:val="28"/>
        </w:rPr>
        <w:t xml:space="preserve">, </w:t>
      </w:r>
      <w:r w:rsidR="001241C6" w:rsidRPr="001241C6">
        <w:rPr>
          <w:szCs w:val="28"/>
        </w:rPr>
        <w:t>30233 32028, 88002340175(единый номер)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3) путем письменного обращения по адресу: Забайкальский край г. Борзя ул. </w:t>
      </w:r>
      <w:r w:rsidR="001241C6" w:rsidRPr="001241C6">
        <w:rPr>
          <w:szCs w:val="28"/>
        </w:rPr>
        <w:t>Савватеевская, 23</w:t>
      </w:r>
      <w:r w:rsidR="001241C6">
        <w:rPr>
          <w:szCs w:val="28"/>
        </w:rPr>
        <w:t xml:space="preserve">, </w:t>
      </w:r>
      <w:r w:rsidR="001241C6" w:rsidRPr="001241C6">
        <w:rPr>
          <w:szCs w:val="28"/>
        </w:rPr>
        <w:t>Забайкальский край, Борзинский район, г. Борзя, ул. Карла Маркса, 85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4) посредством обращения по электронной почте: </w:t>
      </w:r>
      <w:r w:rsidRPr="00B50703">
        <w:rPr>
          <w:szCs w:val="28"/>
          <w:lang w:val="en-US"/>
        </w:rPr>
        <w:t>adm</w:t>
      </w:r>
      <w:r w:rsidRPr="00B50703">
        <w:rPr>
          <w:szCs w:val="28"/>
        </w:rPr>
        <w:t>-</w:t>
      </w:r>
      <w:r w:rsidRPr="00B50703">
        <w:rPr>
          <w:szCs w:val="28"/>
          <w:lang w:val="en-US"/>
        </w:rPr>
        <w:t>borzya</w:t>
      </w:r>
      <w:r w:rsidRPr="00B50703">
        <w:rPr>
          <w:szCs w:val="28"/>
        </w:rPr>
        <w:t>@</w:t>
      </w:r>
      <w:r w:rsidRPr="00B50703">
        <w:rPr>
          <w:szCs w:val="28"/>
          <w:lang w:val="en-US"/>
        </w:rPr>
        <w:t>mail</w:t>
      </w:r>
      <w:r w:rsidRPr="00B50703">
        <w:rPr>
          <w:szCs w:val="28"/>
        </w:rPr>
        <w:t>.</w:t>
      </w:r>
      <w:r w:rsidRPr="00B50703">
        <w:rPr>
          <w:szCs w:val="28"/>
          <w:lang w:val="en-US"/>
        </w:rPr>
        <w:t>ru</w:t>
      </w:r>
      <w:r w:rsidRPr="00B50703">
        <w:rPr>
          <w:szCs w:val="28"/>
        </w:rPr>
        <w:t>;</w:t>
      </w:r>
      <w:r w:rsidR="001241C6" w:rsidRPr="001241C6">
        <w:t xml:space="preserve"> </w:t>
      </w:r>
      <w:r w:rsidR="001241C6" w:rsidRPr="001241C6">
        <w:rPr>
          <w:szCs w:val="28"/>
        </w:rPr>
        <w:t>www.mfc-chita.ru, info@mfc-chita.ru.</w:t>
      </w:r>
    </w:p>
    <w:p w:rsidR="00B50703" w:rsidRPr="00B50703" w:rsidRDefault="00B50703" w:rsidP="00B50703">
      <w:pPr>
        <w:ind w:firstLine="709"/>
        <w:jc w:val="both"/>
        <w:rPr>
          <w:color w:val="052635"/>
          <w:szCs w:val="28"/>
        </w:rPr>
      </w:pPr>
      <w:r w:rsidRPr="00B50703">
        <w:rPr>
          <w:szCs w:val="28"/>
        </w:rPr>
        <w:lastRenderedPageBreak/>
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 w:rsidRPr="00B50703">
        <w:rPr>
          <w:szCs w:val="28"/>
          <w:lang w:val="en-US"/>
        </w:rPr>
        <w:t>http</w:t>
      </w:r>
      <w:r w:rsidRPr="00B50703">
        <w:rPr>
          <w:szCs w:val="28"/>
        </w:rPr>
        <w:t xml:space="preserve">: // </w:t>
      </w:r>
      <w:hyperlink r:id="rId9" w:history="1">
        <w:r w:rsidRPr="00B50703">
          <w:rPr>
            <w:szCs w:val="28"/>
            <w:u w:val="single"/>
            <w:lang w:val="en-US"/>
          </w:rPr>
          <w:t>www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pgu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e</w:t>
        </w:r>
        <w:r w:rsidRPr="00B50703">
          <w:rPr>
            <w:szCs w:val="28"/>
            <w:u w:val="single"/>
          </w:rPr>
          <w:t>-</w:t>
        </w:r>
        <w:r w:rsidRPr="00B50703">
          <w:rPr>
            <w:szCs w:val="28"/>
            <w:u w:val="single"/>
            <w:lang w:val="en-US"/>
          </w:rPr>
          <w:t>zab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ru</w:t>
        </w:r>
      </w:hyperlink>
      <w:r w:rsidRPr="00B50703">
        <w:rPr>
          <w:szCs w:val="28"/>
        </w:rPr>
        <w:t xml:space="preserve"> (далее – Портал)</w:t>
      </w:r>
      <w:r w:rsidR="001241C6">
        <w:rPr>
          <w:szCs w:val="28"/>
        </w:rPr>
        <w:t>,</w:t>
      </w:r>
      <w:r w:rsidR="001241C6" w:rsidRPr="001241C6">
        <w:t xml:space="preserve"> </w:t>
      </w:r>
      <w:r w:rsidR="001241C6" w:rsidRPr="001241C6">
        <w:rPr>
          <w:szCs w:val="28"/>
        </w:rPr>
        <w:t>на официальном сайте Краевого государственного учреждения «Многофункциональный центр предоставления государственных и муниципальных услуг Забайк</w:t>
      </w:r>
      <w:r w:rsidR="001241C6">
        <w:rPr>
          <w:szCs w:val="28"/>
        </w:rPr>
        <w:t>альского края» www.mfc-chita.ru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6) из информационного стенда, оборудованного возле кабинета уполномоченного органа администрации городского поселения «Борзинское»</w:t>
      </w:r>
      <w:r w:rsidR="001241C6" w:rsidRPr="001241C6">
        <w:t xml:space="preserve"> </w:t>
      </w:r>
      <w:r w:rsidR="001241C6" w:rsidRPr="001241C6">
        <w:rPr>
          <w:szCs w:val="28"/>
        </w:rPr>
        <w:t>и КГАУ «МФЦ Забайкальского края»</w:t>
      </w:r>
      <w:r w:rsidRPr="00B50703">
        <w:rPr>
          <w:szCs w:val="28"/>
        </w:rPr>
        <w:t>.</w:t>
      </w:r>
    </w:p>
    <w:p w:rsidR="00B50703" w:rsidRPr="00B50703" w:rsidRDefault="00B50703" w:rsidP="00B50703">
      <w:pPr>
        <w:ind w:firstLine="709"/>
        <w:jc w:val="both"/>
        <w:rPr>
          <w:i/>
          <w:szCs w:val="28"/>
        </w:rPr>
      </w:pPr>
      <w:r w:rsidRPr="00B50703">
        <w:rPr>
          <w:szCs w:val="28"/>
        </w:rPr>
        <w:t>1.3.2. График работы уполномоченного органа администрации городского поселения «Борзинское»:</w:t>
      </w:r>
    </w:p>
    <w:p w:rsidR="00B50703" w:rsidRDefault="00B50703" w:rsidP="00B50703">
      <w:pPr>
        <w:ind w:firstLine="709"/>
        <w:jc w:val="both"/>
        <w:rPr>
          <w:i/>
          <w:szCs w:val="28"/>
        </w:rPr>
      </w:pPr>
      <w:r w:rsidRPr="00B50703">
        <w:rPr>
          <w:i/>
          <w:szCs w:val="28"/>
        </w:rPr>
        <w:t>(вторник, среда с 8.</w:t>
      </w:r>
      <w:r w:rsidR="001241C6">
        <w:rPr>
          <w:i/>
          <w:szCs w:val="28"/>
        </w:rPr>
        <w:t>0</w:t>
      </w:r>
      <w:r w:rsidRPr="00B50703">
        <w:rPr>
          <w:i/>
          <w:szCs w:val="28"/>
        </w:rPr>
        <w:t>0 до 1</w:t>
      </w:r>
      <w:r w:rsidR="001241C6">
        <w:rPr>
          <w:i/>
          <w:szCs w:val="28"/>
        </w:rPr>
        <w:t>2</w:t>
      </w:r>
      <w:r w:rsidRPr="00B50703">
        <w:rPr>
          <w:i/>
          <w:szCs w:val="28"/>
        </w:rPr>
        <w:t>.00, с 1</w:t>
      </w:r>
      <w:r w:rsidR="001241C6">
        <w:rPr>
          <w:i/>
          <w:szCs w:val="28"/>
        </w:rPr>
        <w:t>3</w:t>
      </w:r>
      <w:r w:rsidRPr="00B50703">
        <w:rPr>
          <w:i/>
          <w:szCs w:val="28"/>
        </w:rPr>
        <w:t>.00 до 17.</w:t>
      </w:r>
      <w:r w:rsidR="001241C6">
        <w:rPr>
          <w:i/>
          <w:szCs w:val="28"/>
        </w:rPr>
        <w:t>0</w:t>
      </w:r>
      <w:r w:rsidRPr="00B50703">
        <w:rPr>
          <w:i/>
          <w:szCs w:val="28"/>
        </w:rPr>
        <w:t>0).</w:t>
      </w:r>
    </w:p>
    <w:p w:rsidR="001241C6" w:rsidRPr="001241C6" w:rsidRDefault="001241C6" w:rsidP="001241C6">
      <w:pPr>
        <w:jc w:val="both"/>
        <w:rPr>
          <w:szCs w:val="28"/>
        </w:rPr>
      </w:pPr>
      <w:r w:rsidRPr="001241C6">
        <w:rPr>
          <w:szCs w:val="28"/>
        </w:rPr>
        <w:t>График работы КГАУ «МФЦ Забайкальского края»:</w:t>
      </w:r>
    </w:p>
    <w:p w:rsidR="001241C6" w:rsidRPr="001241C6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Понедельник, среда, четверг, пятница: с 08:00 до 17:00 без перерыва;</w:t>
      </w:r>
    </w:p>
    <w:p w:rsidR="001241C6" w:rsidRPr="001241C6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Вторник: с 08:00 до 20:00 без перерыва;</w:t>
      </w:r>
    </w:p>
    <w:p w:rsidR="001241C6" w:rsidRPr="00B50703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Суббота: с 08:00 до 17:00, с перерывом на обед с 12:00 до 13:00;</w:t>
      </w:r>
      <w:r w:rsidRPr="001241C6">
        <w:rPr>
          <w:i/>
          <w:szCs w:val="28"/>
        </w:rPr>
        <w:tab/>
      </w:r>
      <w:r w:rsidRPr="001241C6">
        <w:rPr>
          <w:i/>
          <w:szCs w:val="28"/>
        </w:rPr>
        <w:tab/>
      </w:r>
      <w:r w:rsidRPr="001241C6">
        <w:rPr>
          <w:i/>
          <w:szCs w:val="28"/>
        </w:rPr>
        <w:tab/>
        <w:t xml:space="preserve">   Выходной: воскресенье.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1.3.3. На информационном стенде по месту нахождения уполномоченного органа администрации городского поселения «Борзинское» </w:t>
      </w:r>
      <w:r w:rsidR="001241C6" w:rsidRPr="001241C6">
        <w:rPr>
          <w:szCs w:val="28"/>
        </w:rPr>
        <w:t xml:space="preserve">и КГАУ «МФЦ Забайкальского края» </w:t>
      </w:r>
      <w:r w:rsidRPr="00B50703">
        <w:rPr>
          <w:szCs w:val="28"/>
        </w:rPr>
        <w:t>и на официальном сайте в информационно-телекоммуникационной сети Интернет размещается следующая информация: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1.3.4. При ответах на телефонные звонки и устные обращения должностные лица уполномоченного органа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В случае если должностное лицо уполномоченного органа администрации городского поселения «Борзинское»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</w:t>
      </w:r>
      <w:r w:rsidRPr="00B50703">
        <w:rPr>
          <w:szCs w:val="28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1.3.5. Должностные лица уполномоченного органа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1.3.6. Письменный запрос, поступивший в администрацию городского поселения «Борзинское» рассматривается в течение 30 дней со дня регистрации письменного запроса.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Ответы на письменные запросы заявителей направляются за подписью руководителя  администрации городского поселения «Борзинское»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1.3.7.Ответ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Ответы на запросы, полученные по электронной почте, даются в порядке, установленном в пункте 1.3.6.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-телекоммуникационной сети Интернет - </w:t>
      </w:r>
      <w:r w:rsidRPr="00B50703">
        <w:rPr>
          <w:color w:val="052635"/>
          <w:szCs w:val="28"/>
          <w:lang w:val="en-US"/>
        </w:rPr>
        <w:t>http</w:t>
      </w:r>
      <w:r w:rsidRPr="00B50703">
        <w:rPr>
          <w:color w:val="052635"/>
          <w:szCs w:val="28"/>
        </w:rPr>
        <w:t xml:space="preserve">: // </w:t>
      </w:r>
      <w:hyperlink r:id="rId10" w:history="1">
        <w:r w:rsidRPr="00B50703">
          <w:rPr>
            <w:color w:val="0000FF"/>
            <w:szCs w:val="28"/>
            <w:u w:val="single"/>
            <w:lang w:val="en-US"/>
          </w:rPr>
          <w:t>www</w:t>
        </w:r>
        <w:r w:rsidRPr="00B50703">
          <w:rPr>
            <w:color w:val="0000FF"/>
            <w:szCs w:val="28"/>
            <w:u w:val="single"/>
          </w:rPr>
          <w:t>.</w:t>
        </w:r>
        <w:r w:rsidRPr="00B50703">
          <w:rPr>
            <w:color w:val="0000FF"/>
            <w:szCs w:val="28"/>
            <w:u w:val="single"/>
            <w:lang w:val="en-US"/>
          </w:rPr>
          <w:t>pgu</w:t>
        </w:r>
        <w:r w:rsidRPr="00B50703">
          <w:rPr>
            <w:color w:val="0000FF"/>
            <w:szCs w:val="28"/>
            <w:u w:val="single"/>
          </w:rPr>
          <w:t>.</w:t>
        </w:r>
        <w:r w:rsidRPr="00B50703">
          <w:rPr>
            <w:color w:val="0000FF"/>
            <w:szCs w:val="28"/>
            <w:u w:val="single"/>
            <w:lang w:val="en-US"/>
          </w:rPr>
          <w:t>e</w:t>
        </w:r>
        <w:r w:rsidRPr="00B50703">
          <w:rPr>
            <w:color w:val="0000FF"/>
            <w:szCs w:val="28"/>
            <w:u w:val="single"/>
          </w:rPr>
          <w:t>-</w:t>
        </w:r>
        <w:r w:rsidRPr="00B50703">
          <w:rPr>
            <w:color w:val="0000FF"/>
            <w:szCs w:val="28"/>
            <w:u w:val="single"/>
            <w:lang w:val="en-US"/>
          </w:rPr>
          <w:t>zab</w:t>
        </w:r>
        <w:r w:rsidRPr="00B50703">
          <w:rPr>
            <w:color w:val="0000FF"/>
            <w:szCs w:val="28"/>
            <w:u w:val="single"/>
          </w:rPr>
          <w:t>.</w:t>
        </w:r>
        <w:r w:rsidRPr="00B50703">
          <w:rPr>
            <w:color w:val="0000FF"/>
            <w:szCs w:val="28"/>
            <w:u w:val="single"/>
            <w:lang w:val="en-US"/>
          </w:rPr>
          <w:t>ru</w:t>
        </w:r>
      </w:hyperlink>
      <w:r w:rsidRPr="00B50703">
        <w:rPr>
          <w:color w:val="052635"/>
          <w:szCs w:val="28"/>
        </w:rPr>
        <w:t xml:space="preserve"> (далее – Портал).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2. Стандарт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2.1. Наименование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Предоставление разрешения условно разрешенный вид использований земельного участка.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2.2. Наименование органа, предоставляющего муниципальную услугу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Муниципальная услуга предоставляется Администрацией городского поселения «Борзинское», непосредственно муниципальную услугу предоставляет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уполномоченный орган администрации городского поселения «Борзинское» (далее – Исполнитель).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2.3. Результатом предоставления муниципальной услуги является:</w:t>
      </w:r>
    </w:p>
    <w:p w:rsidR="00B50703" w:rsidRPr="00B50703" w:rsidRDefault="00B50703" w:rsidP="00B50703">
      <w:pPr>
        <w:ind w:firstLine="709"/>
        <w:jc w:val="both"/>
        <w:rPr>
          <w:bCs/>
          <w:color w:val="1D5586"/>
          <w:szCs w:val="28"/>
        </w:rPr>
      </w:pPr>
      <w:r w:rsidRPr="00B50703">
        <w:rPr>
          <w:szCs w:val="28"/>
        </w:rPr>
        <w:t xml:space="preserve">1) получение заявителем разрешения на условно разрешенный вид использования земельного участка 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 направление заявителю отказа в предоставлении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2.4. Сроки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2.4.1. Срок предоставления муниципальной услуги не должен превышать 56 календарных дней со дня подачи заявления о предоставлении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2.5. Правовые основания для предоставления муниципальной услуги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lastRenderedPageBreak/>
        <w:t xml:space="preserve">Предоставление муниципальной услуги осуществляется в соответствии с  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B50703">
        <w:rPr>
          <w:szCs w:val="28"/>
        </w:rPr>
        <w:lastRenderedPageBreak/>
        <w:t>услуг» («Российская газета», 2012 № 200, «Собрание законодательства Российской Федерации», 2012, № 36, ст. 4903);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- Уставом городского поселения «Борзинское», принятым решением Совета городского поселения «Борзинское» от  18.05.2011 г № 304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иными нормативными правовыми актами Российской Федерации, Забайкальского края и муниципальными правовыми актами городского поселения «Борзинское».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 Исчерпывающий перечень документов, необходимых в соответствии нормативными правовыми актами для предоставления  для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 подлежащих представлению заявителем: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B50703">
          <w:rPr>
            <w:szCs w:val="28"/>
          </w:rPr>
          <w:t>1</w:t>
        </w:r>
      </w:hyperlink>
      <w:r w:rsidRPr="00B50703">
        <w:rPr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 w:val="24"/>
        </w:rPr>
        <w:t xml:space="preserve">2) </w:t>
      </w:r>
      <w:r w:rsidRPr="00B50703">
        <w:rPr>
          <w:szCs w:val="28"/>
        </w:rPr>
        <w:t>документ, удостоверяющий личность заявителя или представителя заявителя, если с заявлением обращается его представитель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3) документ, удостоверяющий права (полномочия) представителя заявителя, если с заявлением обращается представитель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-схема планировочного обоснования;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органов, органов местного самоуправления и иных организаций и которые вправе представить: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.2.6.3.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B50703" w:rsidRPr="00B50703" w:rsidRDefault="00B50703" w:rsidP="00B5070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В течение 5 дней со дня получения электронного сообщения о приеме документов направляет Исполнителю прилагаемые к нему документы в бумажном варианте.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2.6.4.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Также не допускается требовать от заявителя предоставления документов и информации, которые находятся в распоряжении Исполнителя, </w:t>
      </w:r>
      <w:r w:rsidRPr="00B50703">
        <w:rPr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1" w:name="sub_21001"/>
      <w:r w:rsidRPr="00B50703">
        <w:rPr>
          <w:szCs w:val="28"/>
        </w:rPr>
        <w:t>2.7. Перечень оснований для приостановления предоставления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в случае подачи заявления в форме электронного документа, если заявителем пропущен срок, указанный в пункте 2.6.3. оказание муниципальной услуги приостанавливается.</w:t>
      </w:r>
    </w:p>
    <w:bookmarkEnd w:id="1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2.8. Перечень оснований для отказа в предоставлении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1) не предоставление документов, предусмотренных пунктом 2.6.1. либо несоответствие указанных документов установленным требованиям;</w:t>
      </w:r>
    </w:p>
    <w:p w:rsidR="00B50703" w:rsidRPr="00B50703" w:rsidRDefault="00B50703" w:rsidP="00B50703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рекомендация комиссии на основании результатов проведения публичных слушаний об отказе в предоставлении разрешения;</w:t>
      </w:r>
    </w:p>
    <w:p w:rsidR="00B50703" w:rsidRPr="00B50703" w:rsidRDefault="00B50703" w:rsidP="00B50703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2.11. Срок и порядок регистрации запроса заявителя о предоставлении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2" w:name="sub_212"/>
      <w:r w:rsidRPr="00B50703">
        <w:rPr>
          <w:szCs w:val="28"/>
        </w:rPr>
        <w:t>2.12. Требования к местам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3" w:name="sub_131"/>
      <w:bookmarkEnd w:id="2"/>
      <w:r w:rsidRPr="00B50703">
        <w:rPr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</w:t>
      </w:r>
      <w:r w:rsidRPr="00B50703">
        <w:rPr>
          <w:szCs w:val="28"/>
        </w:rPr>
        <w:lastRenderedPageBreak/>
        <w:t>помещение размещается табличка с наименованием помещения (зал ожидания, приема/выдачи документов и т.д.).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</w:t>
      </w:r>
      <w:r w:rsidR="001241C6">
        <w:rPr>
          <w:szCs w:val="28"/>
        </w:rPr>
        <w:t>.</w:t>
      </w:r>
      <w:r w:rsidR="001241C6" w:rsidRPr="001241C6">
        <w:t xml:space="preserve"> </w:t>
      </w:r>
      <w:r w:rsidR="001241C6" w:rsidRPr="001241C6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Pr="00B50703">
        <w:rPr>
          <w:szCs w:val="28"/>
        </w:rPr>
        <w:t>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</w:t>
      </w:r>
      <w:r w:rsidRPr="00B50703">
        <w:rPr>
          <w:sz w:val="24"/>
        </w:rPr>
        <w:t xml:space="preserve"> </w:t>
      </w:r>
      <w:r w:rsidRPr="00B50703">
        <w:rPr>
          <w:szCs w:val="28"/>
        </w:rPr>
        <w:t>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информационными стендами, на которых размещается текстовая информация;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стульями и столами для оформления документов.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(последнее -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4" w:name="sub_213"/>
      <w:r w:rsidRPr="00B50703">
        <w:rPr>
          <w:szCs w:val="28"/>
        </w:rPr>
        <w:t>2.13. Показатели доступности и качества муниципальной услуги.</w:t>
      </w:r>
    </w:p>
    <w:bookmarkEnd w:id="4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Показателями доступности и качества муниципальной услуги являются: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соблюдение сроков предоставления муниципальной услуги и условий ожидания приема;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полное информирование о муниципальной услуге;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обоснованность отказов в предоставлении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получение муниципальной услуги в формах по выбору заявителя;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ресурсное обеспечение исполнения Административного регламента;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2.14.1. Иные требования к предоставлению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B71A0D">
        <w:rPr>
          <w:szCs w:val="28"/>
        </w:rPr>
        <w:t xml:space="preserve">, </w:t>
      </w:r>
      <w:r w:rsidR="00B71A0D" w:rsidRPr="00B71A0D">
        <w:rPr>
          <w:szCs w:val="28"/>
        </w:rPr>
        <w:t>КГАУ «МФЦ Забайкальского края»</w:t>
      </w:r>
      <w:r w:rsidRPr="00B50703">
        <w:rPr>
          <w:szCs w:val="28"/>
        </w:rPr>
        <w:t xml:space="preserve"> и Портале;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</w:t>
      </w:r>
      <w:r w:rsidR="00160FE5">
        <w:rPr>
          <w:szCs w:val="28"/>
        </w:rPr>
        <w:t>оставления муниципальной услуги;</w:t>
      </w:r>
    </w:p>
    <w:p w:rsidR="00160FE5" w:rsidRPr="00160FE5" w:rsidRDefault="00160FE5" w:rsidP="00160FE5">
      <w:pPr>
        <w:ind w:firstLine="709"/>
        <w:jc w:val="both"/>
        <w:rPr>
          <w:szCs w:val="28"/>
        </w:rPr>
      </w:pPr>
      <w:r w:rsidRPr="00160FE5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160FE5" w:rsidRPr="00B50703" w:rsidRDefault="00160FE5" w:rsidP="00160FE5">
      <w:pPr>
        <w:ind w:firstLine="709"/>
        <w:jc w:val="both"/>
        <w:rPr>
          <w:szCs w:val="28"/>
        </w:rPr>
      </w:pPr>
      <w:r w:rsidRPr="00160FE5">
        <w:rPr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2.14.2.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B50703" w:rsidRPr="00B50703" w:rsidRDefault="00B50703" w:rsidP="00B50703">
      <w:pPr>
        <w:ind w:firstLine="851"/>
        <w:jc w:val="both"/>
        <w:rPr>
          <w:szCs w:val="28"/>
        </w:rPr>
      </w:pPr>
      <w:r w:rsidRPr="00B50703">
        <w:rPr>
          <w:szCs w:val="28"/>
        </w:rPr>
        <w:t>2.14.3. Особенности предоставления муниципальной услуги в электронной форме.</w:t>
      </w:r>
    </w:p>
    <w:p w:rsidR="00B50703" w:rsidRPr="00B50703" w:rsidRDefault="00B50703" w:rsidP="00B50703">
      <w:pPr>
        <w:ind w:firstLine="851"/>
        <w:jc w:val="both"/>
        <w:rPr>
          <w:szCs w:val="28"/>
        </w:rPr>
      </w:pPr>
      <w:r w:rsidRPr="00B50703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  <w:sectPr w:rsidR="00B50703" w:rsidRPr="00B50703" w:rsidSect="00B71A0D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Формы и виды обращений заявителя: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530"/>
        <w:gridCol w:w="1276"/>
        <w:gridCol w:w="863"/>
        <w:gridCol w:w="851"/>
        <w:gridCol w:w="1121"/>
        <w:gridCol w:w="2693"/>
        <w:gridCol w:w="2409"/>
      </w:tblGrid>
      <w:tr w:rsidR="00B50703" w:rsidRPr="00B50703" w:rsidTr="00B71A0D">
        <w:trPr>
          <w:trHeight w:val="1710"/>
        </w:trPr>
        <w:tc>
          <w:tcPr>
            <w:tcW w:w="424" w:type="dxa"/>
            <w:vMerge w:val="restart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№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Необходимость предоставления, в следующих случаях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Личный прием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50703" w:rsidRPr="00B50703" w:rsidTr="00B71A0D">
        <w:trPr>
          <w:trHeight w:val="1420"/>
        </w:trPr>
        <w:tc>
          <w:tcPr>
            <w:tcW w:w="424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5530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Бумажный вид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Электронный вид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Бумажно-электронный вид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Электронный</w:t>
            </w:r>
          </w:p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 вид</w:t>
            </w:r>
          </w:p>
        </w:tc>
      </w:tr>
      <w:tr w:rsidR="00B50703" w:rsidRPr="00B50703" w:rsidTr="00B71A0D">
        <w:trPr>
          <w:trHeight w:val="870"/>
        </w:trPr>
        <w:tc>
          <w:tcPr>
            <w:tcW w:w="424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5530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</w:tr>
      <w:tr w:rsidR="00B50703" w:rsidRPr="00B50703" w:rsidTr="00B71A0D">
        <w:trPr>
          <w:trHeight w:val="1132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B50703">
                <w:rPr>
                  <w:color w:val="008000"/>
                  <w:sz w:val="24"/>
                </w:rPr>
                <w:t>1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Скан-копия документа, сформированного в бумажном виде, заверенная простой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Документ, подписанный простой ЭЦП</w:t>
            </w:r>
          </w:p>
        </w:tc>
      </w:tr>
      <w:tr w:rsidR="00B50703" w:rsidRPr="00B50703" w:rsidTr="00B71A0D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2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УЭК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Скан-копия документа, сформированного в бумажном виде, завереннаяусиленной квалифицированной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УЭК</w:t>
            </w:r>
          </w:p>
        </w:tc>
      </w:tr>
      <w:tr w:rsidR="00B50703" w:rsidRPr="00B50703" w:rsidTr="00B71A0D">
        <w:trPr>
          <w:trHeight w:val="556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3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suppressAutoHyphens/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заверенная усиленной квалифицированной </w:t>
            </w:r>
            <w:r w:rsidRPr="00B50703">
              <w:rPr>
                <w:sz w:val="24"/>
              </w:rPr>
              <w:lastRenderedPageBreak/>
              <w:t>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lastRenderedPageBreak/>
              <w:t>Документ, подписанный усиленной квалифицированной ЭЦП</w:t>
            </w:r>
          </w:p>
        </w:tc>
      </w:tr>
      <w:tr w:rsidR="00B50703" w:rsidRPr="00B50703" w:rsidTr="00B71A0D">
        <w:trPr>
          <w:trHeight w:val="813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lastRenderedPageBreak/>
              <w:t>4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Схема планировочного обоснования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Документ, подписанный усиленной квалифицированной ЭЦП</w:t>
            </w:r>
          </w:p>
        </w:tc>
      </w:tr>
      <w:tr w:rsidR="00B50703" w:rsidRPr="00B50703" w:rsidTr="00B71A0D">
        <w:trPr>
          <w:trHeight w:val="416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5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Запрос в Росреестр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Запрос в Росреестр</w:t>
            </w:r>
          </w:p>
        </w:tc>
      </w:tr>
    </w:tbl>
    <w:p w:rsidR="00B50703" w:rsidRPr="00B50703" w:rsidRDefault="00B50703" w:rsidP="00B50703">
      <w:pPr>
        <w:jc w:val="both"/>
        <w:rPr>
          <w:szCs w:val="28"/>
        </w:rPr>
        <w:sectPr w:rsidR="00B50703" w:rsidRPr="00B50703" w:rsidSect="00B71A0D">
          <w:pgSz w:w="16838" w:h="11906" w:orient="landscape"/>
          <w:pgMar w:top="851" w:right="851" w:bottom="1418" w:left="851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3. Состав, последовательность и сроки выполнения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административных процедур, требования к порядку их выполнения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3.1.Административные действия (процедуры) при предоставлении муниципальной услуги</w:t>
      </w:r>
    </w:p>
    <w:bookmarkEnd w:id="3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1) прием и регистрация заявления и документов, представленных заявителем в комиссию;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4) направление уведомления об отказе в предоставлении услуги (в случае наличия оснований)</w:t>
      </w:r>
    </w:p>
    <w:p w:rsidR="00B50703" w:rsidRPr="00B50703" w:rsidRDefault="00B50703" w:rsidP="00B50703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B50703">
        <w:rPr>
          <w:bCs/>
          <w:kern w:val="32"/>
          <w:szCs w:val="28"/>
        </w:rPr>
        <w:t>5)  организация и проведение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строительства;</w:t>
      </w:r>
    </w:p>
    <w:p w:rsidR="00B50703" w:rsidRPr="00B50703" w:rsidRDefault="00B50703" w:rsidP="00B50703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B50703">
        <w:rPr>
          <w:bCs/>
          <w:kern w:val="32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szCs w:val="28"/>
        </w:rPr>
        <w:t>3.2. </w:t>
      </w:r>
      <w:r w:rsidRPr="00B50703">
        <w:rPr>
          <w:color w:val="000000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2.6.1-2.6.2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3.2.2.Максимальное время приема и регистрации документов, представленных заявителем, не должно превышать 15 минут. Принятые документы передаются руководителю в течение 1 рабочего дня, следующего за днем регистрации.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Электронное сообщение о приеме заявления к рассмотрению должно содержать информацию: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 сроках рассмотрения заявления;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Комиссия в течение 5 дней проверяет заявление с приложенным документов на комплектность документов и соответствие документов заявленным требованиям.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3.5. В случае не предоставления документов указанных в пункте 2.6.1.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3.6. Организация и проведение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42"/>
      <w:r w:rsidRPr="00B50703">
        <w:rPr>
          <w:szCs w:val="28"/>
        </w:rPr>
        <w:t>3.6.1.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является издание постановления главы городского поселения «Борзинское» о назначении публичных слушаний.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3.6.2. Порядок организации и проведения публичных слушаний определяется Уставом городского поселения «Борзинское» либо решением </w:t>
      </w:r>
      <w:bookmarkStart w:id="6" w:name="sub_43"/>
      <w:bookmarkEnd w:id="5"/>
      <w:r w:rsidRPr="00B50703">
        <w:rPr>
          <w:szCs w:val="28"/>
        </w:rPr>
        <w:t>Совета городского поселения «Борзинское».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 3.6.3.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использований земельного участка или объекта капитального строительства.</w:t>
      </w:r>
    </w:p>
    <w:bookmarkEnd w:id="6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44"/>
      <w:r w:rsidRPr="00B50703">
        <w:rPr>
          <w:szCs w:val="28"/>
        </w:rPr>
        <w:t xml:space="preserve">3.6.4. 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13" w:history="1">
        <w:r w:rsidRPr="00B50703">
          <w:rPr>
            <w:color w:val="000000"/>
            <w:szCs w:val="28"/>
          </w:rPr>
          <w:t>официальном сайте</w:t>
        </w:r>
      </w:hyperlink>
      <w:r w:rsidRPr="00B50703">
        <w:rPr>
          <w:color w:val="000000"/>
          <w:szCs w:val="28"/>
        </w:rPr>
        <w:t xml:space="preserve"> городского поселения «Борзинское»</w:t>
      </w:r>
      <w:r w:rsidRPr="00B50703">
        <w:rPr>
          <w:szCs w:val="28"/>
        </w:rPr>
        <w:t>.</w:t>
      </w:r>
    </w:p>
    <w:bookmarkEnd w:id="7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использований земельного участка или объекта капитального строительства (далее - рекомендации комиссии) или об отказе в предоставлении такого разрешения с указанием причин принятого решения.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3.6.5. Результатом административной процедуры является подготовка рекомендаций комиссии.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46"/>
      <w:r w:rsidRPr="00B50703">
        <w:rPr>
          <w:szCs w:val="28"/>
        </w:rPr>
        <w:t>3.7.1.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47"/>
      <w:bookmarkEnd w:id="8"/>
      <w:r w:rsidRPr="00B50703">
        <w:rPr>
          <w:szCs w:val="28"/>
        </w:rPr>
        <w:t xml:space="preserve">3.7.2. Специалист Исполнителя на основании рекомендаций комиссии осуществляет подготовку проекта постановления администрации городского поселения «Борзинское»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</w:t>
      </w:r>
      <w:bookmarkEnd w:id="9"/>
      <w:r w:rsidRPr="00B50703">
        <w:rPr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3.7.3.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48"/>
      <w:r w:rsidRPr="00B50703">
        <w:rPr>
          <w:szCs w:val="28"/>
        </w:rPr>
        <w:t>3.7.4. Постановление администрации городского поселения «Борзинское» 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делопроизводства.</w:t>
      </w:r>
    </w:p>
    <w:bookmarkEnd w:id="10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Максимальный срок предоставления административной процедуры составляет 3дня.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3.7.5. Специалист Исполнителя, ответственный за делопроизводство извещает заявителя о принятом решении и выдает заявителю либо направляет по почте  постановление администрации городского поселения «Борзинское»  о предоставлении или об отказе в предоставлении разрешения на условно разрешенный вид использований земельного участка.</w:t>
      </w:r>
    </w:p>
    <w:p w:rsidR="00B50703" w:rsidRPr="00B50703" w:rsidRDefault="00B50703" w:rsidP="00B50703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0703">
        <w:rPr>
          <w:szCs w:val="28"/>
        </w:rPr>
        <w:t>Процедура, устанавливаемая настоящим пунктом, осуществляется:</w:t>
      </w:r>
    </w:p>
    <w:p w:rsidR="00B50703" w:rsidRPr="00B50703" w:rsidRDefault="00B50703" w:rsidP="00B50703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0703">
        <w:rPr>
          <w:szCs w:val="28"/>
        </w:rPr>
        <w:t>в течение 15 минут - в случае личного прибытия заявителя;</w:t>
      </w:r>
    </w:p>
    <w:p w:rsid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в течение одного дня с момента регистрации постановления, в случае направления ответа по почте письмом</w:t>
      </w:r>
      <w:r w:rsidR="00160FE5">
        <w:rPr>
          <w:szCs w:val="28"/>
        </w:rPr>
        <w:t>.</w:t>
      </w:r>
    </w:p>
    <w:p w:rsidR="00160FE5" w:rsidRPr="00B50703" w:rsidRDefault="00160FE5" w:rsidP="00B50703">
      <w:pPr>
        <w:ind w:firstLine="709"/>
        <w:jc w:val="both"/>
        <w:rPr>
          <w:szCs w:val="28"/>
        </w:rPr>
      </w:pPr>
      <w:r w:rsidRPr="00160FE5">
        <w:rPr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3.8.</w:t>
      </w:r>
      <w:r w:rsidRPr="00B50703">
        <w:rPr>
          <w:szCs w:val="28"/>
        </w:rPr>
        <w:t> </w:t>
      </w:r>
      <w:r w:rsidRPr="00B50703">
        <w:rPr>
          <w:color w:val="000000"/>
          <w:szCs w:val="28"/>
        </w:rPr>
        <w:t>Блок-схема предоставления муниципальной услуги изложена в приложении №</w:t>
      </w:r>
      <w:r w:rsidRPr="00B50703">
        <w:rPr>
          <w:szCs w:val="28"/>
        </w:rPr>
        <w:t> 2</w:t>
      </w:r>
      <w:r w:rsidRPr="00B50703">
        <w:rPr>
          <w:color w:val="000000"/>
          <w:szCs w:val="28"/>
        </w:rPr>
        <w:t xml:space="preserve"> к Административному регламенту.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bookmarkStart w:id="11" w:name="sub_52"/>
      <w:r w:rsidRPr="00B50703">
        <w:rPr>
          <w:b/>
          <w:bCs/>
          <w:kern w:val="32"/>
          <w:szCs w:val="28"/>
        </w:rPr>
        <w:t>4. Формы контроля за исполнением Административного регламента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B50703" w:rsidRPr="00B50703" w:rsidRDefault="00B50703" w:rsidP="00B50703">
      <w:pPr>
        <w:ind w:firstLine="709"/>
        <w:jc w:val="center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bookmarkStart w:id="12" w:name="sub_500"/>
      <w:r w:rsidRPr="00B50703">
        <w:rPr>
          <w:b/>
          <w:bCs/>
          <w:kern w:val="32"/>
          <w:szCs w:val="28"/>
        </w:rPr>
        <w:t>5. Досудебный (внесудебный) порядок обжалования решений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и действий (бездействия) Исполнителя, а также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должностных лиц, муниципальных служащих</w:t>
      </w:r>
    </w:p>
    <w:p w:rsidR="00B50703" w:rsidRPr="00B50703" w:rsidRDefault="00B50703" w:rsidP="00B50703">
      <w:pPr>
        <w:ind w:firstLine="709"/>
        <w:jc w:val="center"/>
        <w:rPr>
          <w:sz w:val="24"/>
        </w:rPr>
      </w:pP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2) нарушение срока предоставления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3) требование у заявителя документов, не предусмотренных Градостроительным кодексом РФ, для предоставления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5) отказ в муниципальной услуги, если основания отказа не предусмотрены Градостроительным кодексом РФ;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5.2. 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 по адресу, указанному в </w:t>
      </w:r>
      <w:hyperlink r:id="rId14" w:history="1">
        <w:r w:rsidRPr="00B50703">
          <w:rPr>
            <w:color w:val="000000"/>
            <w:szCs w:val="28"/>
          </w:rPr>
          <w:t>1.3.1</w:t>
        </w:r>
      </w:hyperlink>
      <w:r w:rsidRPr="00B50703">
        <w:rPr>
          <w:szCs w:val="28"/>
        </w:rPr>
        <w:t xml:space="preserve"> настоящего Административного регламента, на официальный сайт Исполнителя или по электронной почте Исполнителя, через Портал, а также может быть принята при личном приеме заявителя.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5.3. Жалоба заявителя должна содержать следующую информацию: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lastRenderedPageBreak/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2) отказывает в удовлетворении жалобы.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5.7. Не позднее дня, следующего за днем принятия решения, указанного в </w:t>
      </w:r>
      <w:hyperlink r:id="rId15" w:history="1">
        <w:r w:rsidRPr="00B50703">
          <w:rPr>
            <w:color w:val="000000"/>
            <w:szCs w:val="28"/>
          </w:rPr>
          <w:t>пункте</w:t>
        </w:r>
      </w:hyperlink>
      <w:r w:rsidRPr="00B50703">
        <w:rPr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5.8. 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</w:t>
      </w:r>
      <w:r w:rsidRPr="00B50703">
        <w:rPr>
          <w:szCs w:val="28"/>
        </w:rPr>
        <w:lastRenderedPageBreak/>
        <w:t>установленной статьей 151 Уголовно-процессуального кодекса Российской Федерации, или в органы прокуратуры.</w:t>
      </w: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60FE5">
        <w:rPr>
          <w:szCs w:val="28"/>
        </w:rPr>
        <w:t>Решение, принятое по жалобе, направленной руководителю                                                      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Pr="00B50703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 w:val="24"/>
        </w:rPr>
      </w:pPr>
    </w:p>
    <w:bookmarkEnd w:id="12"/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bookmarkEnd w:id="11"/>
    <w:p w:rsidR="00B50703" w:rsidRPr="00B50703" w:rsidRDefault="00B50703" w:rsidP="00B50703">
      <w:pPr>
        <w:ind w:firstLine="567"/>
        <w:jc w:val="right"/>
        <w:rPr>
          <w:b/>
          <w:szCs w:val="28"/>
        </w:rPr>
      </w:pPr>
    </w:p>
    <w:p w:rsidR="00B50703" w:rsidRPr="00B50703" w:rsidRDefault="00B50703" w:rsidP="00B50703">
      <w:pPr>
        <w:ind w:left="5103"/>
        <w:jc w:val="center"/>
        <w:rPr>
          <w:b/>
          <w:szCs w:val="28"/>
        </w:rPr>
      </w:pPr>
      <w:r w:rsidRPr="00B50703">
        <w:rPr>
          <w:szCs w:val="28"/>
        </w:rPr>
        <w:lastRenderedPageBreak/>
        <w:t>Приложение 1</w:t>
      </w:r>
    </w:p>
    <w:p w:rsidR="00B50703" w:rsidRPr="00B50703" w:rsidRDefault="00B50703" w:rsidP="00B50703">
      <w:pPr>
        <w:ind w:left="5103"/>
        <w:jc w:val="center"/>
        <w:rPr>
          <w:szCs w:val="28"/>
        </w:rPr>
      </w:pPr>
      <w:r w:rsidRPr="00B50703">
        <w:rPr>
          <w:szCs w:val="28"/>
        </w:rPr>
        <w:t xml:space="preserve">к </w:t>
      </w:r>
      <w:hyperlink w:anchor="sub_1000" w:history="1">
        <w:r w:rsidRPr="00B50703">
          <w:rPr>
            <w:szCs w:val="28"/>
          </w:rPr>
          <w:t>Административному регламенту</w:t>
        </w:r>
      </w:hyperlink>
      <w:r w:rsidRPr="00B50703">
        <w:rPr>
          <w:szCs w:val="28"/>
        </w:rPr>
        <w:t xml:space="preserve"> «Предоставление разрешения на условно разрешенный вид использовани</w:t>
      </w:r>
      <w:r w:rsidR="00CF3D9D">
        <w:rPr>
          <w:szCs w:val="28"/>
        </w:rPr>
        <w:t>я</w:t>
      </w:r>
      <w:r w:rsidRPr="00B50703">
        <w:rPr>
          <w:szCs w:val="28"/>
        </w:rPr>
        <w:t xml:space="preserve"> земельного участка»</w:t>
      </w:r>
    </w:p>
    <w:p w:rsidR="00B50703" w:rsidRPr="00B50703" w:rsidRDefault="00B50703" w:rsidP="00B50703">
      <w:pPr>
        <w:ind w:left="5103"/>
        <w:jc w:val="center"/>
        <w:rPr>
          <w:szCs w:val="28"/>
        </w:rPr>
      </w:pPr>
    </w:p>
    <w:p w:rsidR="00B50703" w:rsidRPr="00B50703" w:rsidRDefault="00B50703" w:rsidP="00B50703">
      <w:pPr>
        <w:ind w:left="5103"/>
        <w:jc w:val="center"/>
        <w:rPr>
          <w:szCs w:val="28"/>
        </w:rPr>
      </w:pPr>
    </w:p>
    <w:p w:rsidR="00B50703" w:rsidRPr="00B50703" w:rsidRDefault="00B50703" w:rsidP="00B50703">
      <w:pPr>
        <w:jc w:val="right"/>
        <w:rPr>
          <w:b/>
          <w:bCs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</w:tblGrid>
      <w:tr w:rsidR="00B50703" w:rsidRPr="00B50703" w:rsidTr="00B71A0D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В администрацию городского поселения «Борзинское»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(сведения о заявителе)</w:t>
            </w:r>
            <w:hyperlink w:anchor="sub_64" w:history="1">
              <w:r w:rsidRPr="00B50703">
                <w:rPr>
                  <w:color w:val="008000"/>
                  <w:szCs w:val="28"/>
                </w:rPr>
                <w:t>*</w:t>
              </w:r>
            </w:hyperlink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720"/>
        <w:jc w:val="both"/>
        <w:rPr>
          <w:sz w:val="24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Заявление</w:t>
      </w:r>
      <w:r w:rsidRPr="00B50703">
        <w:rPr>
          <w:b/>
          <w:bCs/>
          <w:kern w:val="32"/>
          <w:szCs w:val="28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B50703" w:rsidRPr="00B50703" w:rsidRDefault="00B50703" w:rsidP="00B50703">
      <w:pPr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B50703" w:rsidRPr="00B50703" w:rsidTr="00B71A0D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160FE5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 xml:space="preserve">Прошу (просим) предоставить разрешение на условно разрешенный вид использования земельного участка </w:t>
            </w:r>
            <w:r w:rsidRPr="00B50703">
              <w:rPr>
                <w:szCs w:val="28"/>
              </w:rPr>
              <w:br/>
            </w:r>
          </w:p>
        </w:tc>
      </w:tr>
      <w:tr w:rsidR="00B50703" w:rsidRPr="00B50703" w:rsidTr="00B71A0D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(указывается условно разрешенный вид использования земельного участка</w:t>
            </w:r>
            <w:r w:rsidR="00160FE5">
              <w:rPr>
                <w:i/>
                <w:szCs w:val="28"/>
              </w:rPr>
              <w:t>)</w:t>
            </w:r>
            <w:r w:rsidRPr="00B50703">
              <w:rPr>
                <w:i/>
                <w:szCs w:val="28"/>
              </w:rPr>
              <w:t xml:space="preserve"> 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,</w:t>
            </w:r>
          </w:p>
        </w:tc>
      </w:tr>
    </w:tbl>
    <w:p w:rsidR="00B50703" w:rsidRPr="00B50703" w:rsidRDefault="00B50703" w:rsidP="00160FE5">
      <w:pPr>
        <w:rPr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B50703" w:rsidRPr="00B50703" w:rsidTr="00B71A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расположенного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 xml:space="preserve"> (описание характеристик существующих и намечаемых построек (общая площадь, этажность,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открытые пространства, существующие и планируемые места парковки автомобилей и т. д.)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698"/>
        <w:jc w:val="center"/>
        <w:rPr>
          <w:i/>
          <w:szCs w:val="28"/>
        </w:rPr>
      </w:pPr>
      <w:r w:rsidRPr="00B50703">
        <w:rPr>
          <w:i/>
          <w:szCs w:val="2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B50703" w:rsidRPr="00B50703" w:rsidTr="00B71A0D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К заявлению прилагаются следующие документы: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B50703" w:rsidRPr="00B50703" w:rsidTr="00B71A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lastRenderedPageBreak/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Я согласен (согласна) на обработку моих персональных данных, содержащихся в заявлении.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вручить лично,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B50703" w:rsidRPr="00B50703" w:rsidTr="00B71A0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(инициалы, фамилия)</w:t>
            </w: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_____________________________________</w:t>
      </w:r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r w:rsidRPr="00B50703">
        <w:rPr>
          <w:sz w:val="20"/>
          <w:szCs w:val="20"/>
        </w:rPr>
        <w:t>* Сведения о заявителе:</w:t>
      </w:r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r w:rsidRPr="00B50703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r w:rsidRPr="00B50703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50703" w:rsidRPr="00B50703" w:rsidRDefault="00B50703" w:rsidP="00B50703">
      <w:pPr>
        <w:jc w:val="both"/>
        <w:rPr>
          <w:szCs w:val="28"/>
        </w:rPr>
      </w:pPr>
    </w:p>
    <w:p w:rsidR="00B50703" w:rsidRPr="00B50703" w:rsidRDefault="00B50703" w:rsidP="00B50703">
      <w:pPr>
        <w:jc w:val="right"/>
        <w:rPr>
          <w:color w:val="000000"/>
          <w:szCs w:val="28"/>
        </w:rPr>
        <w:sectPr w:rsidR="00B50703" w:rsidRPr="00B50703" w:rsidSect="00B71A0D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ind w:left="5529"/>
        <w:jc w:val="center"/>
        <w:rPr>
          <w:color w:val="000000"/>
          <w:szCs w:val="28"/>
        </w:rPr>
      </w:pPr>
      <w:r w:rsidRPr="00B50703">
        <w:rPr>
          <w:color w:val="000000"/>
          <w:szCs w:val="28"/>
        </w:rPr>
        <w:lastRenderedPageBreak/>
        <w:t>Приложение  2</w:t>
      </w:r>
    </w:p>
    <w:p w:rsidR="00B50703" w:rsidRPr="00B50703" w:rsidRDefault="00B50703" w:rsidP="00B50703">
      <w:pPr>
        <w:ind w:left="5103"/>
        <w:jc w:val="center"/>
        <w:outlineLvl w:val="1"/>
        <w:rPr>
          <w:szCs w:val="28"/>
        </w:rPr>
      </w:pPr>
      <w:r w:rsidRPr="00B50703">
        <w:rPr>
          <w:szCs w:val="28"/>
        </w:rPr>
        <w:t xml:space="preserve">к Административному регламенту </w:t>
      </w:r>
      <w:r w:rsidRPr="00B50703">
        <w:rPr>
          <w:bCs/>
          <w:szCs w:val="28"/>
        </w:rPr>
        <w:t>«Предоставление разрешения на условно разрешенный вид использовани</w:t>
      </w:r>
      <w:r w:rsidR="00CF3D9D">
        <w:rPr>
          <w:bCs/>
          <w:szCs w:val="28"/>
        </w:rPr>
        <w:t>я</w:t>
      </w:r>
      <w:r w:rsidRPr="00B50703">
        <w:rPr>
          <w:bCs/>
          <w:szCs w:val="28"/>
        </w:rPr>
        <w:t xml:space="preserve"> земельного участка»</w: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b/>
          <w:sz w:val="24"/>
        </w:rPr>
      </w:pPr>
      <w:r w:rsidRPr="00B50703">
        <w:rPr>
          <w:b/>
          <w:sz w:val="24"/>
        </w:rPr>
        <w:t xml:space="preserve">Блок-схема последовательности действий по предоставлению муниципальной </w:t>
      </w:r>
      <w:r w:rsidRPr="00B50703">
        <w:rPr>
          <w:rFonts w:cs="Courier New"/>
          <w:b/>
          <w:sz w:val="24"/>
          <w:lang w:eastAsia="zh-CN"/>
        </w:rPr>
        <w:t xml:space="preserve">услуги </w:t>
      </w:r>
      <w:r w:rsidRPr="00B50703">
        <w:rPr>
          <w:rFonts w:cs="Courier New"/>
          <w:b/>
          <w:bCs/>
          <w:sz w:val="24"/>
          <w:lang w:eastAsia="zh-CN"/>
        </w:rPr>
        <w:t xml:space="preserve">по </w:t>
      </w:r>
      <w:r w:rsidRPr="00B50703">
        <w:rPr>
          <w:b/>
          <w:sz w:val="24"/>
        </w:rPr>
        <w:t xml:space="preserve">предоставлению разрешения на условно разрешенный вид использования земельного участка </w:t>
      </w:r>
    </w:p>
    <w:p w:rsidR="00B50703" w:rsidRPr="00B50703" w:rsidRDefault="00154224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noProof/>
          <w:sz w:val="24"/>
        </w:rPr>
        <w:pict>
          <v:roundrect id="_x0000_s1069" style="position:absolute;left:0;text-align:left;margin-left:129.35pt;margin-top:5.6pt;width:204pt;height:60.2pt;z-index:3" arcsize=".1875">
            <v:textbox style="mso-next-textbox:#_x0000_s1069">
              <w:txbxContent>
                <w:p w:rsidR="00B71A0D" w:rsidRPr="002573B8" w:rsidRDefault="00B71A0D" w:rsidP="00B50703">
                  <w:pPr>
                    <w:jc w:val="center"/>
                  </w:pPr>
                  <w:r>
                    <w:t xml:space="preserve">Поступление заявление и прилагаемых к нему документов 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154224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220.55pt;margin-top:9.15pt;width:10.8pt;height:18.65pt;z-index:4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67" style="position:absolute;left:0;text-align:left;margin-left:249.8pt;margin-top:230.1pt;width:10.45pt;height:32.45pt;rotation:270;z-index:6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79" type="#_x0000_t67" style="position:absolute;left:0;text-align:left;margin-left:210.6pt;margin-top:218.55pt;width:10.65pt;height:146.5pt;rotation:4070057fd;z-index:13"/>
        </w:pic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154224" w:rsidP="00B50703">
      <w:pPr>
        <w:jc w:val="right"/>
        <w:rPr>
          <w:sz w:val="24"/>
        </w:rPr>
      </w:pPr>
      <w:r>
        <w:rPr>
          <w:noProof/>
          <w:sz w:val="24"/>
        </w:rPr>
        <w:pict>
          <v:roundrect id="_x0000_s1071" style="position:absolute;left:0;text-align:left;margin-left:151.6pt;margin-top:2.7pt;width:159.9pt;height:61.1pt;z-index:5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Прием и регистрация заявления и документов 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rPr>
          <w:sz w:val="24"/>
        </w:rPr>
      </w:pPr>
    </w:p>
    <w:p w:rsidR="00B50703" w:rsidRPr="00B50703" w:rsidRDefault="00154224" w:rsidP="00B50703">
      <w:pPr>
        <w:jc w:val="right"/>
        <w:rPr>
          <w:sz w:val="24"/>
        </w:rPr>
      </w:pPr>
      <w:r>
        <w:rPr>
          <w:noProof/>
          <w:sz w:val="24"/>
        </w:rPr>
        <w:pict>
          <v:shape id="_x0000_s1075" type="#_x0000_t67" style="position:absolute;left:0;text-align:left;margin-left:220.55pt;margin-top:11.6pt;width:10.8pt;height:13.4pt;z-index:9"/>
        </w:pict>
      </w:r>
    </w:p>
    <w:p w:rsidR="00B50703" w:rsidRPr="00B50703" w:rsidRDefault="00B50703" w:rsidP="00B50703">
      <w:pPr>
        <w:rPr>
          <w:sz w:val="24"/>
        </w:rPr>
      </w:pPr>
    </w:p>
    <w:p w:rsidR="00B50703" w:rsidRPr="00B50703" w:rsidRDefault="00154224" w:rsidP="00B50703">
      <w:pPr>
        <w:widowControl w:val="0"/>
        <w:jc w:val="center"/>
        <w:outlineLvl w:val="0"/>
        <w:rPr>
          <w:szCs w:val="28"/>
        </w:rPr>
      </w:pPr>
      <w:r>
        <w:rPr>
          <w:noProof/>
          <w:sz w:val="24"/>
        </w:rPr>
        <w:pict>
          <v:roundrect id="_x0000_s1076" style="position:absolute;left:0;text-align:left;margin-left:92.75pt;margin-top:4.95pt;width:212.4pt;height:46.5pt;z-index:10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B71A0D" w:rsidRDefault="00B71A0D" w:rsidP="00B50703">
                  <w:pPr>
                    <w:jc w:val="right"/>
                  </w:pPr>
                </w:p>
              </w:txbxContent>
            </v:textbox>
          </v:roundrect>
        </w:pict>
      </w:r>
    </w:p>
    <w:p w:rsidR="00B50703" w:rsidRPr="00B50703" w:rsidRDefault="00154224" w:rsidP="00B50703">
      <w:pPr>
        <w:widowControl w:val="0"/>
        <w:jc w:val="center"/>
        <w:outlineLvl w:val="0"/>
        <w:rPr>
          <w:szCs w:val="28"/>
        </w:rPr>
      </w:pPr>
      <w:r>
        <w:rPr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left:0;text-align:left;margin-left:294.35pt;margin-top:15.45pt;width:215.45pt;height:167.85pt;z-index:11">
            <o:extrusion v:ext="view" viewpoint="-34.72222mm" viewpointorigin="-.5" skewangle="-45" lightposition="-50000" lightposition2="50000"/>
            <v:textbox style="mso-next-textbox:#_x0000_s1077">
              <w:txbxContent>
                <w:p w:rsidR="00B71A0D" w:rsidRPr="00027634" w:rsidRDefault="00B71A0D" w:rsidP="00B5070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73" type="#_x0000_t67" style="position:absolute;left:0;text-align:left;margin-left:196.4pt;margin-top:3.15pt;width:12pt;height:47.25pt;z-index:7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74" style="position:absolute;left:0;text-align:left;margin-left:4.6pt;margin-top:2.1pt;width:226.75pt;height:62pt;z-index:8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B71A0D" w:rsidRDefault="00B71A0D" w:rsidP="00B5070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7" type="#_x0000_t67" style="position:absolute;left:0;text-align:left;margin-left:92.75pt;margin-top:-.3pt;width:10.8pt;height:13.4pt;z-index:21"/>
        </w:pict>
      </w:r>
      <w:r>
        <w:rPr>
          <w:b/>
          <w:noProof/>
          <w:szCs w:val="28"/>
        </w:rPr>
        <w:pict>
          <v:shape id="_x0000_s1089" type="#_x0000_t67" style="position:absolute;left:0;text-align:left;margin-left:333.35pt;margin-top:13.1pt;width:12.75pt;height:47.25pt;z-index:23"/>
        </w:pict>
      </w:r>
      <w:r>
        <w:rPr>
          <w:noProof/>
          <w:sz w:val="24"/>
        </w:rPr>
        <w:pict>
          <v:roundrect id="_x0000_s1078" style="position:absolute;left:0;text-align:left;margin-left:-60.8pt;margin-top:15.65pt;width:212.4pt;height:102.05pt;z-index:12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83" style="position:absolute;left:0;text-align:left;margin-left:234.5pt;margin-top:12.05pt;width:172.45pt;height:63pt;z-index:17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  <w:p w:rsidR="00B71A0D" w:rsidRDefault="00B71A0D" w:rsidP="00B5070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0" type="#_x0000_t67" style="position:absolute;left:0;text-align:left;margin-left:359.75pt;margin-top:3.25pt;width:10.3pt;height:15.4pt;rotation:270;z-index:14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4" type="#_x0000_t67" style="position:absolute;left:0;text-align:left;margin-left:294.35pt;margin-top:13.7pt;width:10.8pt;height:13.4pt;z-index:18"/>
        </w:pict>
      </w:r>
      <w:r>
        <w:rPr>
          <w:noProof/>
          <w:sz w:val="24"/>
        </w:rPr>
        <w:pict>
          <v:shape id="_x0000_s1088" type="#_x0000_t67" style="position:absolute;left:0;text-align:left;margin-left:61.55pt;margin-top:10.65pt;width:10.8pt;height:13.4pt;z-index:22"/>
        </w:pict>
      </w: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82" style="position:absolute;left:0;text-align:left;margin-left:220.55pt;margin-top:11pt;width:197.65pt;height:94.55pt;z-index:16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</w:p>
                <w:p w:rsidR="00B71A0D" w:rsidRDefault="00B71A0D" w:rsidP="00160F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81" style="position:absolute;left:0;text-align:left;margin-left:-1.9pt;margin-top:11pt;width:125.55pt;height:42.5pt;z-index:15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5" type="#_x0000_t67" style="position:absolute;left:0;text-align:left;margin-left:231.65pt;margin-top:-18.7pt;width:8.5pt;height:55pt;rotation:3072623fd;z-index:19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154224" w:rsidP="00B50703">
      <w:pPr>
        <w:ind w:left="7080"/>
        <w:rPr>
          <w:szCs w:val="28"/>
        </w:rPr>
      </w:pPr>
      <w:r>
        <w:rPr>
          <w:b/>
          <w:noProof/>
          <w:szCs w:val="28"/>
        </w:rPr>
        <w:pict>
          <v:roundrect id="_x0000_s1086" style="position:absolute;left:0;text-align:left;margin-left:115.7pt;margin-top:5.8pt;width:197.4pt;height:77.4pt;z-index:20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Выданный заявителю результат предоставления муниципальной услуги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rPr>
          <w:b/>
          <w:szCs w:val="28"/>
        </w:rPr>
      </w:pP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headerReference w:type="even" r:id="rId16"/>
      <w:headerReference w:type="default" r:id="rId17"/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24" w:rsidRDefault="00154224">
      <w:r>
        <w:separator/>
      </w:r>
    </w:p>
  </w:endnote>
  <w:endnote w:type="continuationSeparator" w:id="0">
    <w:p w:rsidR="00154224" w:rsidRDefault="001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24" w:rsidRDefault="00154224">
      <w:r>
        <w:separator/>
      </w:r>
    </w:p>
  </w:footnote>
  <w:footnote w:type="continuationSeparator" w:id="0">
    <w:p w:rsidR="00154224" w:rsidRDefault="0015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 w:rsidP="00B71A0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A0D" w:rsidRDefault="00B71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Pr="00C56059" w:rsidRDefault="00B71A0D" w:rsidP="00B71A0D">
    <w:pPr>
      <w:pStyle w:val="a5"/>
      <w:framePr w:wrap="around" w:vAnchor="text" w:hAnchor="margin" w:xAlign="center" w:y="-78"/>
      <w:rPr>
        <w:rStyle w:val="ac"/>
        <w:sz w:val="28"/>
        <w:szCs w:val="28"/>
      </w:rPr>
    </w:pPr>
    <w:r w:rsidRPr="00C56059">
      <w:rPr>
        <w:rStyle w:val="ac"/>
        <w:sz w:val="28"/>
        <w:szCs w:val="28"/>
      </w:rPr>
      <w:fldChar w:fldCharType="begin"/>
    </w:r>
    <w:r w:rsidRPr="00C56059">
      <w:rPr>
        <w:rStyle w:val="ac"/>
        <w:sz w:val="28"/>
        <w:szCs w:val="28"/>
      </w:rPr>
      <w:instrText xml:space="preserve">PAGE  </w:instrText>
    </w:r>
    <w:r w:rsidRPr="00C56059">
      <w:rPr>
        <w:rStyle w:val="ac"/>
        <w:sz w:val="28"/>
        <w:szCs w:val="28"/>
      </w:rPr>
      <w:fldChar w:fldCharType="separate"/>
    </w:r>
    <w:r w:rsidR="005D7EF3">
      <w:rPr>
        <w:rStyle w:val="ac"/>
        <w:noProof/>
        <w:sz w:val="28"/>
        <w:szCs w:val="28"/>
      </w:rPr>
      <w:t>2</w:t>
    </w:r>
    <w:r w:rsidRPr="00C56059">
      <w:rPr>
        <w:rStyle w:val="ac"/>
        <w:sz w:val="28"/>
        <w:szCs w:val="28"/>
      </w:rPr>
      <w:fldChar w:fldCharType="end"/>
    </w:r>
  </w:p>
  <w:p w:rsidR="00B71A0D" w:rsidRDefault="00B71A0D">
    <w:pPr>
      <w:pStyle w:val="a5"/>
      <w:rPr>
        <w:sz w:val="16"/>
        <w:szCs w:val="16"/>
      </w:rPr>
    </w:pPr>
  </w:p>
  <w:p w:rsidR="00B71A0D" w:rsidRPr="003E276A" w:rsidRDefault="00B71A0D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A0D" w:rsidRDefault="00B71A0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1241C6"/>
    <w:rsid w:val="00154224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310957"/>
    <w:rsid w:val="00311A7E"/>
    <w:rsid w:val="00320434"/>
    <w:rsid w:val="00324EDE"/>
    <w:rsid w:val="00326E6C"/>
    <w:rsid w:val="00390B84"/>
    <w:rsid w:val="00395B21"/>
    <w:rsid w:val="003C713A"/>
    <w:rsid w:val="003E0D40"/>
    <w:rsid w:val="00410DF3"/>
    <w:rsid w:val="004116B5"/>
    <w:rsid w:val="0041780F"/>
    <w:rsid w:val="00454D4D"/>
    <w:rsid w:val="00470261"/>
    <w:rsid w:val="00476233"/>
    <w:rsid w:val="00486D5E"/>
    <w:rsid w:val="004A2DDD"/>
    <w:rsid w:val="004C521A"/>
    <w:rsid w:val="004E0AF0"/>
    <w:rsid w:val="004E35CE"/>
    <w:rsid w:val="004E4AE0"/>
    <w:rsid w:val="004F4759"/>
    <w:rsid w:val="005012C1"/>
    <w:rsid w:val="00571788"/>
    <w:rsid w:val="00583454"/>
    <w:rsid w:val="00591206"/>
    <w:rsid w:val="005936A4"/>
    <w:rsid w:val="005A12DD"/>
    <w:rsid w:val="005B15DF"/>
    <w:rsid w:val="005D1C65"/>
    <w:rsid w:val="005D7EF3"/>
    <w:rsid w:val="005E0BFB"/>
    <w:rsid w:val="005E7A34"/>
    <w:rsid w:val="00601BB9"/>
    <w:rsid w:val="00602219"/>
    <w:rsid w:val="00602D0C"/>
    <w:rsid w:val="0061014F"/>
    <w:rsid w:val="00610733"/>
    <w:rsid w:val="0061090A"/>
    <w:rsid w:val="0061480C"/>
    <w:rsid w:val="0063090E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D27EA"/>
    <w:rsid w:val="007E1DE1"/>
    <w:rsid w:val="00803387"/>
    <w:rsid w:val="008145F5"/>
    <w:rsid w:val="00814D71"/>
    <w:rsid w:val="00833E84"/>
    <w:rsid w:val="008412D7"/>
    <w:rsid w:val="00846201"/>
    <w:rsid w:val="00855A33"/>
    <w:rsid w:val="008625D6"/>
    <w:rsid w:val="0089117E"/>
    <w:rsid w:val="008B41CB"/>
    <w:rsid w:val="008D26A4"/>
    <w:rsid w:val="00904667"/>
    <w:rsid w:val="0091045C"/>
    <w:rsid w:val="00926830"/>
    <w:rsid w:val="009532CA"/>
    <w:rsid w:val="00965188"/>
    <w:rsid w:val="00983076"/>
    <w:rsid w:val="00986C5B"/>
    <w:rsid w:val="00992AF4"/>
    <w:rsid w:val="009A7303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A0D"/>
    <w:rsid w:val="00B76742"/>
    <w:rsid w:val="00B92F24"/>
    <w:rsid w:val="00BA04D6"/>
    <w:rsid w:val="00BA5479"/>
    <w:rsid w:val="00BD21CD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1019"/>
    <w:rsid w:val="00CF3D9D"/>
    <w:rsid w:val="00CF4C05"/>
    <w:rsid w:val="00D10726"/>
    <w:rsid w:val="00D56A82"/>
    <w:rsid w:val="00D618B7"/>
    <w:rsid w:val="00DA778F"/>
    <w:rsid w:val="00DC221C"/>
    <w:rsid w:val="00DD24CC"/>
    <w:rsid w:val="00DE1596"/>
    <w:rsid w:val="00DF2C8B"/>
    <w:rsid w:val="00DF3F00"/>
    <w:rsid w:val="00E31A54"/>
    <w:rsid w:val="00E50077"/>
    <w:rsid w:val="00E66DDF"/>
    <w:rsid w:val="00E72B1D"/>
    <w:rsid w:val="00EB0DAA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3BB1"/>
    <w:rPr>
      <w:sz w:val="24"/>
    </w:rPr>
  </w:style>
  <w:style w:type="character" w:customStyle="1" w:styleId="20">
    <w:name w:val="Заголовок 2 Знак"/>
    <w:link w:val="2"/>
    <w:uiPriority w:val="9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99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90001.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26BBEDFDA7CADEBC9C004D8E3E4373378DE14897D799CFD3C69CAA16A589662EB9576350E794CDtDO5M" TargetMode="External"/><Relationship Id="rId10" Type="http://schemas.openxmlformats.org/officeDocument/2006/relationships/hyperlink" Target="http://www.pgu.e-za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e-zab.ru" TargetMode="External"/><Relationship Id="rId14" Type="http://schemas.openxmlformats.org/officeDocument/2006/relationships/hyperlink" Target="consultantplus://offline/ref=AD26BBEDFDA7CADEBC9C004D8E3E4373378DE14897D799CFD3C69CAA16A589662EB9576350E797CFtD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2015-11-16T02:46:00Z</cp:lastPrinted>
  <dcterms:created xsi:type="dcterms:W3CDTF">2016-10-13T00:47:00Z</dcterms:created>
  <dcterms:modified xsi:type="dcterms:W3CDTF">2016-10-31T02:28:00Z</dcterms:modified>
</cp:coreProperties>
</file>