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93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Межрайонная ИФНС России № 5 по Забайкальскому краю сообщает о начале кампании по уплате имущественных налогов за 2020 год:</w:t>
      </w:r>
    </w:p>
    <w:p>
      <w:pPr>
        <w:pStyle w:val="Style5"/>
        <w:numPr>
          <w:ilvl w:val="0"/>
          <w:numId w:val="1"/>
        </w:numPr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14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налога на имущество физических лиц;</w:t>
      </w:r>
    </w:p>
    <w:p>
      <w:pPr>
        <w:pStyle w:val="Style5"/>
        <w:numPr>
          <w:ilvl w:val="0"/>
          <w:numId w:val="1"/>
        </w:numPr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59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земельного и транспортного налогов;</w:t>
      </w:r>
    </w:p>
    <w:p>
      <w:pPr>
        <w:pStyle w:val="Style5"/>
        <w:numPr>
          <w:ilvl w:val="0"/>
          <w:numId w:val="1"/>
        </w:numPr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15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налога на доходы физических лиц.</w:t>
      </w:r>
    </w:p>
    <w:p>
      <w:pPr>
        <w:pStyle w:val="Style5"/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40" w:line="260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В настоящее время по почте заказными письмами по адресу места регистрации налогоплательщиков осуществляется массовая рассылка налоговых уведомлений на уплату имущественных налогов.</w:t>
      </w:r>
    </w:p>
    <w:p>
      <w:pPr>
        <w:pStyle w:val="Style5"/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88" w:line="260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Также налоговое уведомление можно получить: - в электронной форме через интернет- сервис «Личный кабинет для физических лиц» сайта ФНС России;</w:t>
      </w:r>
    </w:p>
    <w:p>
      <w:pPr>
        <w:pStyle w:val="Style5"/>
        <w:numPr>
          <w:ilvl w:val="0"/>
          <w:numId w:val="1"/>
        </w:numPr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лично в налоговом органе;</w:t>
      </w:r>
    </w:p>
    <w:p>
      <w:pPr>
        <w:pStyle w:val="Style5"/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90" w:line="263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В случае выявления в налоговом уведомлении неактуальной (некорректной) информации или неполучения до 1 ноября 2021 года налогового уведомления по почте, следует обратиться в налоговые органы лично либо с помощью Интернет - сервисов ФНС России «Личный кабинет налогоплательщика для физических лиц», «Обратиться в ФНС России» или почтовым отправлением на адрес налоговой инспекции по месту регистрации налогоплательщика.</w:t>
      </w:r>
    </w:p>
    <w:p>
      <w:pPr>
        <w:pStyle w:val="Style5"/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Для оплаты налогов выберите наиболее удобный для Вас способ:</w:t>
      </w:r>
    </w:p>
    <w:p>
      <w:pPr>
        <w:pStyle w:val="Style5"/>
        <w:numPr>
          <w:ilvl w:val="0"/>
          <w:numId w:val="1"/>
        </w:numPr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90" w:line="263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с помощью Интернет-сервисов сайта ФНС России «Личный кабинет налогоплательщика для физических лиц, «Уплата налогов и пошлин»</w:t>
      </w:r>
    </w:p>
    <w:p>
      <w:pPr>
        <w:pStyle w:val="Style5"/>
        <w:numPr>
          <w:ilvl w:val="0"/>
          <w:numId w:val="1"/>
        </w:numPr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56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с помощью мобильного приложения ФНС России «Налоги ФЛ»;</w:t>
      </w:r>
    </w:p>
    <w:p>
      <w:pPr>
        <w:pStyle w:val="Style5"/>
        <w:numPr>
          <w:ilvl w:val="0"/>
          <w:numId w:val="1"/>
        </w:numPr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spacing w:before="0" w:after="217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через кредитные учреждения и отделения почты России.</w:t>
      </w:r>
    </w:p>
    <w:p>
      <w:pPr>
        <w:pStyle w:val="Style5"/>
        <w:framePr w:w="8952" w:h="10146" w:hRule="exact" w:wrap="around" w:vAnchor="page" w:hAnchor="page" w:x="1483" w:y="3576"/>
        <w:widowControl w:val="0"/>
        <w:keepNext w:val="0"/>
        <w:keepLines w:val="0"/>
        <w:shd w:val="clear" w:color="auto" w:fill="auto"/>
        <w:bidi w:val="0"/>
        <w:jc w:val="left"/>
        <w:spacing w:before="0" w:after="0" w:line="267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Более подробную информацию можно получить, обратившись по бесплатному номеру многоканального телефона Единого Контакт - центра ФНС России 8-800-222-22-22 Предельный срок уплаты имущественных налогов физических лиц за 2020 год - </w:t>
      </w:r>
      <w:r>
        <w:rPr>
          <w:rStyle w:val="CharStyle7"/>
        </w:rPr>
        <w:t>не позднее 1 декабря 2021 года.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4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3"/>
    </w:rPr>
  </w:style>
  <w:style w:type="character" w:customStyle="1" w:styleId="CharStyle7">
    <w:name w:val="Основной текст + Полужирный,Интервал 0 pt"/>
    <w:basedOn w:val="CharStyle6"/>
    <w:rPr>
      <w:lang w:val="ru-RU" w:eastAsia="ru-RU" w:bidi="ru-RU"/>
      <w:b/>
      <w:bCs/>
      <w:w w:val="100"/>
      <w:spacing w:val="4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240" w:line="267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4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240"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