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B5" w:rsidRPr="005D75B5" w:rsidRDefault="002E5726" w:rsidP="002E5726">
      <w:pPr>
        <w:jc w:val="center"/>
        <w:rPr>
          <w:sz w:val="28"/>
          <w:szCs w:val="28"/>
        </w:rPr>
      </w:pPr>
      <w:r w:rsidRPr="005D75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32385</wp:posOffset>
            </wp:positionV>
            <wp:extent cx="72390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5D75B5" w:rsidRPr="005D75B5" w:rsidRDefault="005D75B5" w:rsidP="002E5726">
      <w:pPr>
        <w:jc w:val="center"/>
        <w:rPr>
          <w:sz w:val="28"/>
          <w:szCs w:val="28"/>
        </w:rPr>
      </w:pPr>
    </w:p>
    <w:p w:rsidR="00AE21AF" w:rsidRPr="00AE21AF" w:rsidRDefault="00AE21AF" w:rsidP="002E5726">
      <w:pPr>
        <w:jc w:val="center"/>
        <w:rPr>
          <w:b/>
          <w:sz w:val="28"/>
          <w:szCs w:val="28"/>
        </w:rPr>
      </w:pPr>
      <w:r w:rsidRPr="00AE21AF">
        <w:rPr>
          <w:b/>
          <w:sz w:val="28"/>
          <w:szCs w:val="28"/>
        </w:rPr>
        <w:t>Совет городского поселения «Борзинское»</w:t>
      </w:r>
    </w:p>
    <w:p w:rsidR="00AE21AF" w:rsidRPr="005D75B5" w:rsidRDefault="00AE21AF" w:rsidP="00AE21AF">
      <w:pPr>
        <w:jc w:val="center"/>
        <w:rPr>
          <w:sz w:val="28"/>
          <w:szCs w:val="28"/>
        </w:rPr>
      </w:pPr>
    </w:p>
    <w:p w:rsidR="005D75B5" w:rsidRPr="005D75B5" w:rsidRDefault="005D75B5" w:rsidP="00AE21AF">
      <w:pPr>
        <w:jc w:val="center"/>
        <w:rPr>
          <w:sz w:val="28"/>
          <w:szCs w:val="28"/>
        </w:rPr>
      </w:pPr>
    </w:p>
    <w:p w:rsidR="00AE21AF" w:rsidRPr="00AE21AF" w:rsidRDefault="00AE21AF" w:rsidP="00AE21AF">
      <w:pPr>
        <w:jc w:val="center"/>
        <w:rPr>
          <w:b/>
          <w:sz w:val="32"/>
          <w:szCs w:val="32"/>
        </w:rPr>
      </w:pPr>
      <w:r w:rsidRPr="00AE21AF">
        <w:rPr>
          <w:b/>
          <w:sz w:val="32"/>
          <w:szCs w:val="32"/>
        </w:rPr>
        <w:t>РЕШЕНИЕ</w:t>
      </w:r>
    </w:p>
    <w:p w:rsidR="00AE21AF" w:rsidRPr="00AE21AF" w:rsidRDefault="00AE21AF" w:rsidP="00AE21AF">
      <w:pPr>
        <w:rPr>
          <w:sz w:val="28"/>
          <w:szCs w:val="28"/>
        </w:rPr>
      </w:pPr>
      <w:r w:rsidRPr="00AE21AF">
        <w:rPr>
          <w:sz w:val="28"/>
          <w:szCs w:val="28"/>
        </w:rPr>
        <w:t>«</w:t>
      </w:r>
      <w:r w:rsidR="004E2C0E">
        <w:rPr>
          <w:sz w:val="28"/>
          <w:szCs w:val="28"/>
        </w:rPr>
        <w:t>25</w:t>
      </w:r>
      <w:r w:rsidRPr="00AE21AF">
        <w:rPr>
          <w:sz w:val="28"/>
          <w:szCs w:val="28"/>
        </w:rPr>
        <w:t xml:space="preserve">» </w:t>
      </w:r>
      <w:r w:rsidR="004E2C0E">
        <w:rPr>
          <w:sz w:val="28"/>
          <w:szCs w:val="28"/>
        </w:rPr>
        <w:t>октябр</w:t>
      </w:r>
      <w:r w:rsidRPr="00AE21AF">
        <w:rPr>
          <w:sz w:val="28"/>
          <w:szCs w:val="28"/>
        </w:rPr>
        <w:t>я 201</w:t>
      </w:r>
      <w:r w:rsidR="00AF64EA">
        <w:rPr>
          <w:sz w:val="28"/>
          <w:szCs w:val="28"/>
        </w:rPr>
        <w:t>8</w:t>
      </w:r>
      <w:r w:rsidR="005D75B5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F2726">
        <w:rPr>
          <w:sz w:val="28"/>
          <w:szCs w:val="28"/>
        </w:rPr>
        <w:tab/>
      </w:r>
      <w:r w:rsidR="005D75B5">
        <w:rPr>
          <w:sz w:val="28"/>
          <w:szCs w:val="28"/>
        </w:rPr>
        <w:tab/>
      </w:r>
      <w:r w:rsidRPr="00AE21AF">
        <w:rPr>
          <w:sz w:val="28"/>
          <w:szCs w:val="28"/>
        </w:rPr>
        <w:t>№</w:t>
      </w:r>
      <w:r w:rsidR="005D75B5">
        <w:rPr>
          <w:sz w:val="28"/>
          <w:szCs w:val="28"/>
        </w:rPr>
        <w:t xml:space="preserve"> </w:t>
      </w:r>
      <w:r w:rsidR="004E2C0E">
        <w:rPr>
          <w:sz w:val="28"/>
          <w:szCs w:val="28"/>
        </w:rPr>
        <w:t>105</w:t>
      </w:r>
    </w:p>
    <w:p w:rsidR="00AE21AF" w:rsidRPr="005D75B5" w:rsidRDefault="00AE21AF" w:rsidP="00AE21AF">
      <w:pPr>
        <w:jc w:val="center"/>
        <w:rPr>
          <w:sz w:val="28"/>
          <w:szCs w:val="28"/>
        </w:rPr>
      </w:pPr>
      <w:r w:rsidRPr="005D75B5">
        <w:rPr>
          <w:sz w:val="28"/>
          <w:szCs w:val="28"/>
        </w:rPr>
        <w:t>город Борзя</w:t>
      </w:r>
    </w:p>
    <w:p w:rsidR="00AE21AF" w:rsidRDefault="00AE21AF" w:rsidP="00AE21AF">
      <w:pPr>
        <w:jc w:val="center"/>
        <w:rPr>
          <w:sz w:val="28"/>
          <w:szCs w:val="28"/>
        </w:rPr>
      </w:pPr>
    </w:p>
    <w:p w:rsidR="005D75B5" w:rsidRPr="005D75B5" w:rsidRDefault="005D75B5" w:rsidP="00AE21AF">
      <w:pPr>
        <w:jc w:val="center"/>
        <w:rPr>
          <w:sz w:val="28"/>
          <w:szCs w:val="28"/>
        </w:rPr>
      </w:pPr>
    </w:p>
    <w:p w:rsidR="00A93E0C" w:rsidRPr="00AE21AF" w:rsidRDefault="004E2C0E" w:rsidP="003C5B3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к сведению дополнений к отчету</w:t>
      </w:r>
      <w:r w:rsidR="00A93E0C" w:rsidRPr="00AE21AF">
        <w:rPr>
          <w:rFonts w:ascii="Times New Roman" w:hAnsi="Times New Roman" w:cs="Times New Roman"/>
          <w:sz w:val="28"/>
          <w:szCs w:val="28"/>
        </w:rPr>
        <w:t xml:space="preserve"> </w:t>
      </w:r>
      <w:r w:rsidR="00533A79" w:rsidRPr="00AE21AF">
        <w:rPr>
          <w:rFonts w:ascii="Times New Roman" w:hAnsi="Times New Roman" w:cs="Times New Roman"/>
          <w:sz w:val="28"/>
          <w:szCs w:val="28"/>
        </w:rPr>
        <w:t>главы</w:t>
      </w:r>
      <w:r w:rsidR="00A93E0C" w:rsidRPr="00AE21AF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о результатах своей деятельности, деятельности администрации городского поселения «Борзинское»</w:t>
      </w:r>
      <w:r w:rsidR="001F3A55" w:rsidRPr="00AE21AF">
        <w:rPr>
          <w:rFonts w:ascii="Times New Roman" w:hAnsi="Times New Roman" w:cs="Times New Roman"/>
          <w:sz w:val="28"/>
          <w:szCs w:val="28"/>
        </w:rPr>
        <w:t xml:space="preserve"> за 201</w:t>
      </w:r>
      <w:r w:rsidR="00AF64EA">
        <w:rPr>
          <w:rFonts w:ascii="Times New Roman" w:hAnsi="Times New Roman" w:cs="Times New Roman"/>
          <w:sz w:val="28"/>
          <w:szCs w:val="28"/>
        </w:rPr>
        <w:t>7</w:t>
      </w:r>
      <w:r w:rsidR="001F3A55" w:rsidRPr="00AE21AF">
        <w:rPr>
          <w:rFonts w:ascii="Times New Roman" w:hAnsi="Times New Roman" w:cs="Times New Roman"/>
          <w:sz w:val="28"/>
          <w:szCs w:val="28"/>
        </w:rPr>
        <w:t xml:space="preserve"> год</w:t>
      </w:r>
      <w:r w:rsidR="00A93E0C" w:rsidRPr="00AE21AF">
        <w:rPr>
          <w:rFonts w:ascii="Times New Roman" w:hAnsi="Times New Roman" w:cs="Times New Roman"/>
          <w:sz w:val="28"/>
          <w:szCs w:val="28"/>
        </w:rPr>
        <w:t>, в том числе о решении вопросов, поставленных Советом городского поселения «Борзинское»</w:t>
      </w:r>
    </w:p>
    <w:p w:rsidR="00A93E0C" w:rsidRDefault="00A93E0C" w:rsidP="000C58C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2C0E" w:rsidRDefault="004E2C0E" w:rsidP="004E2C0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C0E">
        <w:rPr>
          <w:rFonts w:ascii="Times New Roman" w:hAnsi="Times New Roman" w:cs="Times New Roman"/>
          <w:b w:val="0"/>
          <w:sz w:val="28"/>
          <w:szCs w:val="28"/>
        </w:rPr>
        <w:t xml:space="preserve">Рассмотрев дополнение к отчету главы городского поселения </w:t>
      </w:r>
      <w:proofErr w:type="gramStart"/>
      <w:r w:rsidRPr="004E2C0E">
        <w:rPr>
          <w:rFonts w:ascii="Times New Roman" w:hAnsi="Times New Roman" w:cs="Times New Roman"/>
          <w:b w:val="0"/>
          <w:sz w:val="28"/>
          <w:szCs w:val="28"/>
        </w:rPr>
        <w:t xml:space="preserve">«Борзинское» о результатах своей деятельности, деятельности администрации городского поселения «Борзинское» за 2017 год, в том числе о решении вопросов, поставленных Советом городского поселения «Борзинское», утвержденному решением Совета городского поселения «Борзинское» от 13 апреля 2018 года № 60, 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b w:val="0"/>
          <w:sz w:val="28"/>
          <w:szCs w:val="28"/>
        </w:rPr>
        <w:t>астью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11.1 ст</w:t>
      </w:r>
      <w:r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35 Федерального закона от 06 октября 2003г. № 131-ФЗ «Об общих принципах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РФ»,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ст</w:t>
      </w:r>
      <w:r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proofErr w:type="gramEnd"/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 Устава городского поселения «Борзинское»,</w:t>
      </w:r>
      <w:r w:rsidRPr="00AE21AF">
        <w:rPr>
          <w:b w:val="0"/>
          <w:sz w:val="28"/>
          <w:szCs w:val="28"/>
        </w:rPr>
        <w:t xml:space="preserve"> </w:t>
      </w:r>
      <w:r w:rsidRPr="00AE21AF">
        <w:rPr>
          <w:rFonts w:ascii="Times New Roman" w:hAnsi="Times New Roman" w:cs="Times New Roman"/>
          <w:b w:val="0"/>
          <w:sz w:val="28"/>
          <w:szCs w:val="28"/>
        </w:rPr>
        <w:t xml:space="preserve">Положением о ежегодном отчете главы городского поселения «Борзинское» о результатах своей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утвержденным решением Совета городского поселения «Борзинское» от 27 марта 2017 года № 400, Совет городского поселения «Борзинское» </w:t>
      </w:r>
      <w:r w:rsidRPr="00AE21AF">
        <w:rPr>
          <w:rFonts w:ascii="Times New Roman" w:hAnsi="Times New Roman" w:cs="Times New Roman"/>
          <w:sz w:val="28"/>
          <w:szCs w:val="28"/>
        </w:rPr>
        <w:t>решил:</w:t>
      </w:r>
    </w:p>
    <w:p w:rsidR="004E2C0E" w:rsidRPr="004E2C0E" w:rsidRDefault="004E2C0E" w:rsidP="004E2C0E">
      <w:pPr>
        <w:ind w:firstLine="708"/>
        <w:jc w:val="both"/>
        <w:rPr>
          <w:bCs/>
          <w:sz w:val="28"/>
          <w:szCs w:val="28"/>
        </w:rPr>
      </w:pPr>
    </w:p>
    <w:p w:rsidR="004E2C0E" w:rsidRDefault="004E2C0E" w:rsidP="004E2C0E">
      <w:pPr>
        <w:ind w:firstLine="708"/>
        <w:jc w:val="both"/>
        <w:rPr>
          <w:sz w:val="28"/>
          <w:szCs w:val="28"/>
        </w:rPr>
      </w:pPr>
      <w:r w:rsidRPr="004E2C0E">
        <w:rPr>
          <w:bCs/>
          <w:color w:val="000000"/>
          <w:sz w:val="28"/>
          <w:szCs w:val="28"/>
        </w:rPr>
        <w:t xml:space="preserve">1. </w:t>
      </w:r>
      <w:r w:rsidR="001D7D39">
        <w:rPr>
          <w:bCs/>
          <w:color w:val="000000"/>
          <w:sz w:val="28"/>
          <w:szCs w:val="28"/>
        </w:rPr>
        <w:t>Отчеты муниципального бюджетного учреждения «Служба МТО» и Унитарного муниципального архитектурно-планировочного предприятия за 2017 год, принять к сведению</w:t>
      </w:r>
      <w:r w:rsidRPr="004E2C0E">
        <w:rPr>
          <w:sz w:val="28"/>
          <w:szCs w:val="28"/>
        </w:rPr>
        <w:t>.</w:t>
      </w:r>
    </w:p>
    <w:p w:rsidR="001D7D39" w:rsidRPr="004E2C0E" w:rsidRDefault="001D7D39" w:rsidP="004E2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color w:val="000000"/>
          <w:sz w:val="28"/>
          <w:szCs w:val="28"/>
        </w:rPr>
        <w:t xml:space="preserve">Отчеты муниципального бюджетного учреждения «Служба МТО» и Унитарного муниципального архитектурно-планировочного предприятия за 2017 год приобщить к </w:t>
      </w:r>
      <w:r>
        <w:rPr>
          <w:sz w:val="28"/>
          <w:szCs w:val="28"/>
        </w:rPr>
        <w:t>отчету</w:t>
      </w:r>
      <w:r w:rsidRPr="00AE21AF">
        <w:rPr>
          <w:sz w:val="28"/>
          <w:szCs w:val="28"/>
        </w:rPr>
        <w:t xml:space="preserve"> главы городского поселения «Борзинское» о результатах своей деятельности, деятельности администрации городского поселения «Борзинское» за 201</w:t>
      </w:r>
      <w:r>
        <w:rPr>
          <w:sz w:val="28"/>
          <w:szCs w:val="28"/>
        </w:rPr>
        <w:t>7</w:t>
      </w:r>
      <w:r w:rsidRPr="00AE21AF">
        <w:rPr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>
        <w:rPr>
          <w:sz w:val="28"/>
          <w:szCs w:val="28"/>
        </w:rPr>
        <w:t xml:space="preserve">, утвержденному </w:t>
      </w:r>
      <w:r w:rsidRPr="001D7D39">
        <w:rPr>
          <w:sz w:val="28"/>
          <w:szCs w:val="28"/>
        </w:rPr>
        <w:lastRenderedPageBreak/>
        <w:t>решением Совета городского поселения «Борзинское» от 13 апреля 2018 года № 60</w:t>
      </w:r>
      <w:r>
        <w:rPr>
          <w:sz w:val="28"/>
          <w:szCs w:val="28"/>
        </w:rPr>
        <w:t>.</w:t>
      </w:r>
      <w:proofErr w:type="gramEnd"/>
    </w:p>
    <w:p w:rsidR="004E2C0E" w:rsidRPr="004E2C0E" w:rsidRDefault="001D7D39" w:rsidP="004E2C0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E2C0E" w:rsidRPr="004E2C0E">
        <w:rPr>
          <w:bCs/>
          <w:color w:val="000000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E2C0E" w:rsidRDefault="004E2C0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D7D39" w:rsidRDefault="001D7D39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1D7D39" w:rsidRPr="000A24C4" w:rsidTr="003D0364">
        <w:tc>
          <w:tcPr>
            <w:tcW w:w="4644" w:type="dxa"/>
          </w:tcPr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  <w:r w:rsidRPr="000A24C4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</w:p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  <w:r w:rsidRPr="000A24C4">
              <w:rPr>
                <w:sz w:val="28"/>
                <w:szCs w:val="28"/>
              </w:rPr>
              <w:t xml:space="preserve">                        </w:t>
            </w:r>
            <w:r w:rsidR="0088678A">
              <w:rPr>
                <w:sz w:val="28"/>
                <w:szCs w:val="28"/>
              </w:rPr>
              <w:t xml:space="preserve">     </w:t>
            </w:r>
            <w:r w:rsidRPr="000A24C4">
              <w:rPr>
                <w:sz w:val="28"/>
                <w:szCs w:val="28"/>
              </w:rPr>
              <w:t xml:space="preserve"> В.Я. </w:t>
            </w:r>
            <w:proofErr w:type="spellStart"/>
            <w:r w:rsidRPr="000A24C4">
              <w:rPr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992" w:type="dxa"/>
          </w:tcPr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  <w:r w:rsidRPr="000A24C4">
              <w:rPr>
                <w:sz w:val="28"/>
                <w:szCs w:val="28"/>
              </w:rPr>
              <w:t>Глава городского поселения</w:t>
            </w:r>
          </w:p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  <w:r w:rsidRPr="000A24C4">
              <w:rPr>
                <w:sz w:val="28"/>
                <w:szCs w:val="28"/>
              </w:rPr>
              <w:t>«Борзинское»</w:t>
            </w:r>
          </w:p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</w:p>
          <w:p w:rsidR="001D7D39" w:rsidRPr="000A24C4" w:rsidRDefault="001D7D39" w:rsidP="003D0364">
            <w:pPr>
              <w:pStyle w:val="af0"/>
              <w:rPr>
                <w:sz w:val="28"/>
                <w:szCs w:val="28"/>
              </w:rPr>
            </w:pPr>
            <w:r w:rsidRPr="000A24C4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4E2C0E" w:rsidRDefault="004E2C0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Default="00921B6E" w:rsidP="00AE21A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1B6E" w:rsidRPr="00AC3E8D" w:rsidRDefault="00921B6E" w:rsidP="00921B6E">
      <w:pPr>
        <w:jc w:val="center"/>
        <w:rPr>
          <w:sz w:val="28"/>
          <w:szCs w:val="28"/>
        </w:rPr>
      </w:pPr>
      <w:r w:rsidRPr="00AC3E8D">
        <w:rPr>
          <w:sz w:val="28"/>
          <w:szCs w:val="28"/>
        </w:rPr>
        <w:lastRenderedPageBreak/>
        <w:t xml:space="preserve">Отчет </w:t>
      </w:r>
      <w:r>
        <w:rPr>
          <w:sz w:val="28"/>
          <w:szCs w:val="28"/>
        </w:rPr>
        <w:t>МУ «Служба</w:t>
      </w:r>
      <w:r w:rsidRPr="00AC3E8D">
        <w:rPr>
          <w:sz w:val="28"/>
          <w:szCs w:val="28"/>
        </w:rPr>
        <w:t xml:space="preserve"> МТО</w:t>
      </w:r>
      <w:r>
        <w:rPr>
          <w:sz w:val="28"/>
          <w:szCs w:val="28"/>
        </w:rPr>
        <w:t>»</w:t>
      </w:r>
      <w:r w:rsidRPr="00AC3E8D">
        <w:rPr>
          <w:sz w:val="28"/>
          <w:szCs w:val="28"/>
        </w:rPr>
        <w:t xml:space="preserve"> на 01.01.2018 года.</w:t>
      </w:r>
    </w:p>
    <w:p w:rsidR="00921B6E" w:rsidRPr="00AC3E8D" w:rsidRDefault="00921B6E" w:rsidP="00921B6E">
      <w:pPr>
        <w:jc w:val="center"/>
        <w:rPr>
          <w:sz w:val="28"/>
          <w:szCs w:val="28"/>
        </w:rPr>
      </w:pP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За 2017 год поступило бюджетных сре</w:t>
      </w:r>
      <w:proofErr w:type="gramStart"/>
      <w:r w:rsidRPr="00921B6E">
        <w:rPr>
          <w:sz w:val="28"/>
          <w:szCs w:val="28"/>
        </w:rPr>
        <w:t>дств  в р</w:t>
      </w:r>
      <w:proofErr w:type="gramEnd"/>
      <w:r w:rsidRPr="00921B6E">
        <w:rPr>
          <w:sz w:val="28"/>
          <w:szCs w:val="28"/>
        </w:rPr>
        <w:t xml:space="preserve">азмере </w:t>
      </w:r>
      <w:r w:rsidRPr="00921B6E">
        <w:rPr>
          <w:b/>
          <w:sz w:val="28"/>
          <w:szCs w:val="28"/>
        </w:rPr>
        <w:t>9 995  171,41</w:t>
      </w:r>
      <w:r w:rsidRPr="00921B6E">
        <w:rPr>
          <w:b/>
          <w:bCs/>
          <w:i/>
          <w:iCs/>
          <w:sz w:val="28"/>
          <w:szCs w:val="28"/>
        </w:rPr>
        <w:t xml:space="preserve"> рублей</w:t>
      </w:r>
      <w:r w:rsidRPr="00921B6E">
        <w:rPr>
          <w:sz w:val="28"/>
          <w:szCs w:val="28"/>
        </w:rPr>
        <w:t>, которые были израсходованы на следующие статьи расходов: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211 –заработная плата5 301 119,89 в т.ч. НДФЛ – 616736,00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213- начисления на оплату труда –1689117,62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212 – суточные выплаты 39200,00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221 –</w:t>
      </w:r>
      <w:r w:rsidRPr="00921B6E">
        <w:rPr>
          <w:b/>
          <w:sz w:val="28"/>
          <w:szCs w:val="28"/>
        </w:rPr>
        <w:t>253455,67</w:t>
      </w:r>
      <w:r w:rsidRPr="00921B6E">
        <w:rPr>
          <w:sz w:val="28"/>
          <w:szCs w:val="28"/>
        </w:rPr>
        <w:t>, в том числе услуги связи 107 871,70,отправка корреспонденции – 42 609,92,  доступ в интернет – 94 400,00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Статья 223 – коммунальные услуги </w:t>
      </w:r>
      <w:r w:rsidRPr="00921B6E">
        <w:rPr>
          <w:b/>
          <w:sz w:val="28"/>
          <w:szCs w:val="28"/>
        </w:rPr>
        <w:t>865 260,80</w:t>
      </w:r>
      <w:r w:rsidRPr="00921B6E">
        <w:rPr>
          <w:sz w:val="28"/>
          <w:szCs w:val="28"/>
        </w:rPr>
        <w:t xml:space="preserve"> в т.ч.: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Электроэнергия –83707,63(</w:t>
      </w:r>
      <w:proofErr w:type="spellStart"/>
      <w:r w:rsidRPr="00921B6E">
        <w:rPr>
          <w:sz w:val="28"/>
          <w:szCs w:val="28"/>
        </w:rPr>
        <w:t>мто</w:t>
      </w:r>
      <w:proofErr w:type="spellEnd"/>
      <w:r w:rsidRPr="00921B6E">
        <w:rPr>
          <w:sz w:val="28"/>
          <w:szCs w:val="28"/>
        </w:rPr>
        <w:t>)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Эл/энергия (администрация) – 107695,03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Отопление  (администрация) – 570 253,01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Водоснабжение (администрация) – 13819,67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Ассенизация (администрация)- 2472,0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статья 225 – услуги по содержанию имущества  - </w:t>
      </w:r>
      <w:r w:rsidRPr="00921B6E">
        <w:rPr>
          <w:b/>
          <w:sz w:val="28"/>
          <w:szCs w:val="28"/>
        </w:rPr>
        <w:t>209070,68</w:t>
      </w:r>
      <w:r w:rsidRPr="00921B6E">
        <w:rPr>
          <w:sz w:val="28"/>
          <w:szCs w:val="28"/>
        </w:rPr>
        <w:t xml:space="preserve"> в т.ч.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Заправка картридж</w:t>
      </w:r>
      <w:proofErr w:type="gramStart"/>
      <w:r w:rsidRPr="00921B6E">
        <w:rPr>
          <w:sz w:val="28"/>
          <w:szCs w:val="28"/>
        </w:rPr>
        <w:t>а  ООО</w:t>
      </w:r>
      <w:proofErr w:type="gramEnd"/>
      <w:r w:rsidRPr="00921B6E">
        <w:rPr>
          <w:sz w:val="28"/>
          <w:szCs w:val="28"/>
        </w:rPr>
        <w:t xml:space="preserve"> ЦТО </w:t>
      </w:r>
      <w:proofErr w:type="spellStart"/>
      <w:r w:rsidRPr="00921B6E">
        <w:rPr>
          <w:sz w:val="28"/>
          <w:szCs w:val="28"/>
        </w:rPr>
        <w:t>Малекс</w:t>
      </w:r>
      <w:proofErr w:type="spellEnd"/>
      <w:r w:rsidRPr="00921B6E">
        <w:rPr>
          <w:sz w:val="28"/>
          <w:szCs w:val="28"/>
        </w:rPr>
        <w:t xml:space="preserve"> –67945,00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Монтаж светильников в здании администрации ГП </w:t>
      </w:r>
      <w:proofErr w:type="spellStart"/>
      <w:r w:rsidRPr="00921B6E">
        <w:rPr>
          <w:sz w:val="28"/>
          <w:szCs w:val="28"/>
        </w:rPr>
        <w:t>Борзинское</w:t>
      </w:r>
      <w:proofErr w:type="spellEnd"/>
      <w:r w:rsidRPr="00921B6E">
        <w:rPr>
          <w:sz w:val="28"/>
          <w:szCs w:val="28"/>
        </w:rPr>
        <w:t xml:space="preserve"> – МУ </w:t>
      </w:r>
      <w:proofErr w:type="spellStart"/>
      <w:r w:rsidRPr="00921B6E">
        <w:rPr>
          <w:sz w:val="28"/>
          <w:szCs w:val="28"/>
        </w:rPr>
        <w:t>Дорхоз</w:t>
      </w:r>
      <w:proofErr w:type="spellEnd"/>
      <w:r w:rsidRPr="00921B6E">
        <w:rPr>
          <w:sz w:val="28"/>
          <w:szCs w:val="28"/>
        </w:rPr>
        <w:t>–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29 650,58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Замена вала -4090,00; замена ролика-300,00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Ремонт принтера – 2400,00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Балансировка колес – 2000,00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 на выполнение ремонтно-строительных работ – 46182,66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Замена </w:t>
      </w:r>
      <w:proofErr w:type="spellStart"/>
      <w:r w:rsidRPr="00921B6E">
        <w:rPr>
          <w:sz w:val="28"/>
          <w:szCs w:val="28"/>
        </w:rPr>
        <w:t>вала</w:t>
      </w:r>
      <w:proofErr w:type="gramStart"/>
      <w:r w:rsidRPr="00921B6E">
        <w:rPr>
          <w:sz w:val="28"/>
          <w:szCs w:val="28"/>
        </w:rPr>
        <w:t>,р</w:t>
      </w:r>
      <w:proofErr w:type="gramEnd"/>
      <w:r w:rsidRPr="00921B6E">
        <w:rPr>
          <w:sz w:val="28"/>
          <w:szCs w:val="28"/>
        </w:rPr>
        <w:t>олика</w:t>
      </w:r>
      <w:proofErr w:type="spellEnd"/>
      <w:r w:rsidRPr="00921B6E">
        <w:rPr>
          <w:sz w:val="28"/>
          <w:szCs w:val="28"/>
        </w:rPr>
        <w:t xml:space="preserve"> -4390,0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Тех</w:t>
      </w:r>
      <w:proofErr w:type="gramStart"/>
      <w:r w:rsidRPr="00921B6E">
        <w:rPr>
          <w:sz w:val="28"/>
          <w:szCs w:val="28"/>
        </w:rPr>
        <w:t>.с</w:t>
      </w:r>
      <w:proofErr w:type="gramEnd"/>
      <w:r w:rsidRPr="00921B6E">
        <w:rPr>
          <w:sz w:val="28"/>
          <w:szCs w:val="28"/>
        </w:rPr>
        <w:t>одержание (администрация) ИП Афанасьев – 49903,42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proofErr w:type="gramStart"/>
      <w:r w:rsidRPr="00921B6E">
        <w:rPr>
          <w:sz w:val="28"/>
          <w:szCs w:val="28"/>
        </w:rPr>
        <w:t>Стоянка</w:t>
      </w:r>
      <w:proofErr w:type="gramEnd"/>
      <w:r w:rsidRPr="00921B6E">
        <w:rPr>
          <w:sz w:val="28"/>
          <w:szCs w:val="28"/>
        </w:rPr>
        <w:t xml:space="preserve"> а/м Патриот – 3000,0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proofErr w:type="gramStart"/>
      <w:r w:rsidRPr="00921B6E">
        <w:rPr>
          <w:sz w:val="28"/>
          <w:szCs w:val="28"/>
        </w:rPr>
        <w:t>Химчистка</w:t>
      </w:r>
      <w:proofErr w:type="gramEnd"/>
      <w:r w:rsidRPr="00921B6E">
        <w:rPr>
          <w:sz w:val="28"/>
          <w:szCs w:val="28"/>
        </w:rPr>
        <w:t xml:space="preserve">  а/м Патриот-3000,00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  Статья 226 – прочие услуги и расходы </w:t>
      </w:r>
      <w:r w:rsidRPr="00921B6E">
        <w:rPr>
          <w:b/>
          <w:sz w:val="28"/>
          <w:szCs w:val="28"/>
        </w:rPr>
        <w:t>169 169,72</w:t>
      </w:r>
      <w:r w:rsidRPr="00921B6E">
        <w:rPr>
          <w:sz w:val="28"/>
          <w:szCs w:val="28"/>
        </w:rPr>
        <w:t xml:space="preserve">  в т.ч.: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 Продление сертификата «Контур-Экстерн» - 8580,0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1</w:t>
      </w:r>
      <w:proofErr w:type="gramStart"/>
      <w:r w:rsidRPr="00921B6E">
        <w:rPr>
          <w:sz w:val="28"/>
          <w:szCs w:val="28"/>
        </w:rPr>
        <w:t xml:space="preserve"> С</w:t>
      </w:r>
      <w:proofErr w:type="gramEnd"/>
      <w:r w:rsidRPr="00921B6E">
        <w:rPr>
          <w:sz w:val="28"/>
          <w:szCs w:val="28"/>
        </w:rPr>
        <w:t>- 71876,0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ДГПХ (прокладка ЛВС</w:t>
      </w:r>
      <w:proofErr w:type="gramStart"/>
      <w:r w:rsidRPr="00921B6E">
        <w:rPr>
          <w:sz w:val="28"/>
          <w:szCs w:val="28"/>
        </w:rPr>
        <w:t>)(</w:t>
      </w:r>
      <w:proofErr w:type="gramEnd"/>
      <w:r w:rsidRPr="00921B6E">
        <w:rPr>
          <w:sz w:val="28"/>
          <w:szCs w:val="28"/>
        </w:rPr>
        <w:t xml:space="preserve"> разовый0-4384,95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ДГПХ (программист</w:t>
      </w:r>
      <w:proofErr w:type="gramStart"/>
      <w:r w:rsidRPr="00921B6E">
        <w:rPr>
          <w:sz w:val="28"/>
          <w:szCs w:val="28"/>
        </w:rPr>
        <w:t>)(</w:t>
      </w:r>
      <w:proofErr w:type="spellStart"/>
      <w:proofErr w:type="gramEnd"/>
      <w:r w:rsidRPr="00921B6E">
        <w:rPr>
          <w:sz w:val="28"/>
          <w:szCs w:val="28"/>
        </w:rPr>
        <w:t>февраль,март</w:t>
      </w:r>
      <w:proofErr w:type="spellEnd"/>
      <w:r w:rsidRPr="00921B6E">
        <w:rPr>
          <w:sz w:val="28"/>
          <w:szCs w:val="28"/>
        </w:rPr>
        <w:t>) – 17128,00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Определение </w:t>
      </w:r>
      <w:proofErr w:type="spellStart"/>
      <w:r w:rsidRPr="00921B6E">
        <w:rPr>
          <w:sz w:val="28"/>
          <w:szCs w:val="28"/>
        </w:rPr>
        <w:t>велечины</w:t>
      </w:r>
      <w:proofErr w:type="spellEnd"/>
      <w:r w:rsidRPr="00921B6E">
        <w:rPr>
          <w:sz w:val="28"/>
          <w:szCs w:val="28"/>
        </w:rPr>
        <w:t xml:space="preserve"> арендной платы за пользование 1 кв. м. нежилого помещения – 10600,00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ДГПХ (контрактный управляющий) – 24012,00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НДФЛ с ДГПХ – 4628,00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ФФОМС с ДГПХ – 1815,60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Страховая часть с ДГПХ – 7832,00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Страхование транспортного средства – 8493,17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Изготовление вывески – 1000,00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Сдача отчетности -400,0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Конвертация </w:t>
      </w:r>
      <w:proofErr w:type="spellStart"/>
      <w:r w:rsidRPr="00921B6E">
        <w:rPr>
          <w:sz w:val="28"/>
          <w:szCs w:val="28"/>
        </w:rPr>
        <w:t>инф</w:t>
      </w:r>
      <w:proofErr w:type="gramStart"/>
      <w:r w:rsidRPr="00921B6E">
        <w:rPr>
          <w:sz w:val="28"/>
          <w:szCs w:val="28"/>
        </w:rPr>
        <w:t>.б</w:t>
      </w:r>
      <w:proofErr w:type="gramEnd"/>
      <w:r w:rsidRPr="00921B6E">
        <w:rPr>
          <w:sz w:val="28"/>
          <w:szCs w:val="28"/>
        </w:rPr>
        <w:t>азы,установка</w:t>
      </w:r>
      <w:proofErr w:type="spellEnd"/>
      <w:r w:rsidRPr="00921B6E">
        <w:rPr>
          <w:sz w:val="28"/>
          <w:szCs w:val="28"/>
        </w:rPr>
        <w:t xml:space="preserve"> программы 1С-7400,00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 Статья 310 – увеличение стоимости основных средств  </w:t>
      </w:r>
      <w:r w:rsidRPr="00921B6E">
        <w:rPr>
          <w:b/>
          <w:sz w:val="28"/>
          <w:szCs w:val="28"/>
        </w:rPr>
        <w:t>223 382,00</w:t>
      </w:r>
      <w:r w:rsidRPr="00921B6E">
        <w:rPr>
          <w:sz w:val="28"/>
          <w:szCs w:val="28"/>
        </w:rPr>
        <w:t xml:space="preserve"> в т.ч.: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lastRenderedPageBreak/>
        <w:t>Приобретение компьютера в сборе (МТО) – 34900,0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ИБП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-7000,0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сервера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-98550,0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сканера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– 4299,0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микрофона, камеры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)- 5189,0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монитора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– 5199,00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кондиционера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– 23320,00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принтер МФУ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)-23950,00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мебели (</w:t>
      </w:r>
      <w:proofErr w:type="spellStart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)-20975,00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 Статья 340 – увеличение стоимости материальных запасов </w:t>
      </w:r>
      <w:r w:rsidRPr="00921B6E">
        <w:rPr>
          <w:b/>
          <w:sz w:val="28"/>
          <w:szCs w:val="28"/>
        </w:rPr>
        <w:t>979 927,18</w:t>
      </w:r>
      <w:r w:rsidRPr="00921B6E">
        <w:rPr>
          <w:sz w:val="28"/>
          <w:szCs w:val="28"/>
        </w:rPr>
        <w:t xml:space="preserve"> в т.ч.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Хозяйственные расходы – 8793,00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ГСМ –507470,00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кабеля -810,0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внешнего бокса (МТО) – 1299,00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</w:t>
      </w:r>
      <w:proofErr w:type="spellStart"/>
      <w:r w:rsidRPr="00921B6E">
        <w:rPr>
          <w:sz w:val="28"/>
          <w:szCs w:val="28"/>
        </w:rPr>
        <w:t>зап</w:t>
      </w:r>
      <w:proofErr w:type="spellEnd"/>
      <w:r w:rsidRPr="00921B6E">
        <w:rPr>
          <w:sz w:val="28"/>
          <w:szCs w:val="28"/>
        </w:rPr>
        <w:t xml:space="preserve">/частей </w:t>
      </w:r>
      <w:proofErr w:type="gramStart"/>
      <w:r w:rsidRPr="00921B6E">
        <w:rPr>
          <w:sz w:val="28"/>
          <w:szCs w:val="28"/>
        </w:rPr>
        <w:t>для</w:t>
      </w:r>
      <w:proofErr w:type="gramEnd"/>
      <w:r w:rsidRPr="00921B6E">
        <w:rPr>
          <w:sz w:val="28"/>
          <w:szCs w:val="28"/>
        </w:rPr>
        <w:t xml:space="preserve"> а/м Патриот – 40411,00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Канц. товар</w:t>
      </w:r>
      <w:proofErr w:type="gramStart"/>
      <w:r w:rsidRPr="00921B6E">
        <w:rPr>
          <w:sz w:val="28"/>
          <w:szCs w:val="28"/>
        </w:rPr>
        <w:t>ы(</w:t>
      </w:r>
      <w:proofErr w:type="spellStart"/>
      <w:proofErr w:type="gramEnd"/>
      <w:r w:rsidRPr="00921B6E">
        <w:rPr>
          <w:sz w:val="28"/>
          <w:szCs w:val="28"/>
        </w:rPr>
        <w:t>админ</w:t>
      </w:r>
      <w:proofErr w:type="spellEnd"/>
      <w:r w:rsidRPr="00921B6E">
        <w:rPr>
          <w:sz w:val="28"/>
          <w:szCs w:val="28"/>
        </w:rPr>
        <w:t>) -204541,80</w:t>
      </w:r>
    </w:p>
    <w:p w:rsidR="00921B6E" w:rsidRPr="00921B6E" w:rsidRDefault="00921B6E" w:rsidP="00921B6E">
      <w:pPr>
        <w:pStyle w:val="af0"/>
        <w:jc w:val="both"/>
        <w:rPr>
          <w:color w:val="92D050"/>
          <w:sz w:val="28"/>
          <w:szCs w:val="28"/>
        </w:rPr>
      </w:pPr>
      <w:r w:rsidRPr="00921B6E">
        <w:rPr>
          <w:sz w:val="28"/>
          <w:szCs w:val="28"/>
        </w:rPr>
        <w:t>Приобретение печатей и штампов – 2400,0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светильника – 1500,0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моющих средств – 17400,00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запасных частей – 25000,00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блока питания – 1100,00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автошин </w:t>
      </w:r>
      <w:proofErr w:type="gramStart"/>
      <w:r w:rsidRPr="00921B6E">
        <w:rPr>
          <w:sz w:val="28"/>
          <w:szCs w:val="28"/>
        </w:rPr>
        <w:t>для</w:t>
      </w:r>
      <w:proofErr w:type="gramEnd"/>
      <w:r w:rsidRPr="00921B6E">
        <w:rPr>
          <w:sz w:val="28"/>
          <w:szCs w:val="28"/>
        </w:rPr>
        <w:t xml:space="preserve"> а/м патриот – 36600,00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сетевой карты, мышь – 6195,00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контейнера с чернилами – 4720,00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шкафа (администрация) – 7865,00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двери (администрация) – 3125,00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автомасел, фильтры – 19382,00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Память ПК – 6850,00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бумаги – 13767,38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радиатора </w:t>
      </w:r>
      <w:proofErr w:type="gramStart"/>
      <w:r w:rsidRPr="00921B6E">
        <w:rPr>
          <w:sz w:val="28"/>
          <w:szCs w:val="28"/>
        </w:rPr>
        <w:t>для</w:t>
      </w:r>
      <w:proofErr w:type="gramEnd"/>
      <w:r w:rsidRPr="00921B6E">
        <w:rPr>
          <w:sz w:val="28"/>
          <w:szCs w:val="28"/>
        </w:rPr>
        <w:t xml:space="preserve"> а/м патриот – 15645,00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электротоваров – 13568,00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кабеля, ламп светодиодных, краски – 1214,00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колера – 803,00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кабеля, </w:t>
      </w:r>
      <w:proofErr w:type="spellStart"/>
      <w:r w:rsidRPr="00921B6E">
        <w:rPr>
          <w:sz w:val="28"/>
          <w:szCs w:val="28"/>
        </w:rPr>
        <w:t>металлорукава</w:t>
      </w:r>
      <w:proofErr w:type="spellEnd"/>
      <w:r w:rsidRPr="00921B6E">
        <w:rPr>
          <w:sz w:val="28"/>
          <w:szCs w:val="28"/>
        </w:rPr>
        <w:t xml:space="preserve"> – 1248,00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</w:t>
      </w:r>
      <w:proofErr w:type="spellStart"/>
      <w:r w:rsidRPr="00921B6E">
        <w:rPr>
          <w:sz w:val="28"/>
          <w:szCs w:val="28"/>
        </w:rPr>
        <w:t>кардриджа</w:t>
      </w:r>
      <w:proofErr w:type="spellEnd"/>
      <w:r w:rsidRPr="00921B6E">
        <w:rPr>
          <w:sz w:val="28"/>
          <w:szCs w:val="28"/>
        </w:rPr>
        <w:t xml:space="preserve"> – 2200,00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Приобретение </w:t>
      </w:r>
      <w:proofErr w:type="spellStart"/>
      <w:r w:rsidRPr="00921B6E">
        <w:rPr>
          <w:sz w:val="28"/>
          <w:szCs w:val="28"/>
        </w:rPr>
        <w:t>з</w:t>
      </w:r>
      <w:proofErr w:type="spellEnd"/>
      <w:r w:rsidRPr="00921B6E">
        <w:rPr>
          <w:sz w:val="28"/>
          <w:szCs w:val="28"/>
        </w:rPr>
        <w:t xml:space="preserve">/частей </w:t>
      </w:r>
      <w:proofErr w:type="gramStart"/>
      <w:r w:rsidRPr="00921B6E">
        <w:rPr>
          <w:sz w:val="28"/>
          <w:szCs w:val="28"/>
        </w:rPr>
        <w:t>для</w:t>
      </w:r>
      <w:proofErr w:type="gramEnd"/>
      <w:r w:rsidRPr="00921B6E">
        <w:rPr>
          <w:sz w:val="28"/>
          <w:szCs w:val="28"/>
        </w:rPr>
        <w:t xml:space="preserve"> а/м Волга- 22820,00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290 –прочие расходы-</w:t>
      </w:r>
      <w:r w:rsidRPr="00921B6E">
        <w:rPr>
          <w:b/>
          <w:sz w:val="28"/>
          <w:szCs w:val="28"/>
        </w:rPr>
        <w:t>2 121,21</w:t>
      </w:r>
      <w:r w:rsidRPr="00921B6E">
        <w:rPr>
          <w:sz w:val="28"/>
          <w:szCs w:val="28"/>
        </w:rPr>
        <w:t xml:space="preserve"> в том числе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Компенсация за задержку выплаты заработной платы-231,74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пени по </w:t>
      </w:r>
      <w:proofErr w:type="gramStart"/>
      <w:r w:rsidRPr="00921B6E">
        <w:rPr>
          <w:sz w:val="28"/>
          <w:szCs w:val="28"/>
        </w:rPr>
        <w:t>страховым</w:t>
      </w:r>
      <w:proofErr w:type="gramEnd"/>
      <w:r w:rsidRPr="00921B6E">
        <w:rPr>
          <w:sz w:val="28"/>
          <w:szCs w:val="28"/>
        </w:rPr>
        <w:t xml:space="preserve"> взносам-1703,24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пени НДФЛ-186,23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Государственная пошлина -1000,00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lastRenderedPageBreak/>
        <w:t xml:space="preserve">Поступление доходов от оказания платных услуг составило </w:t>
      </w:r>
      <w:r w:rsidRPr="00921B6E">
        <w:rPr>
          <w:b/>
          <w:sz w:val="28"/>
          <w:szCs w:val="28"/>
        </w:rPr>
        <w:t>398836,79</w:t>
      </w:r>
      <w:r w:rsidRPr="00921B6E">
        <w:rPr>
          <w:sz w:val="28"/>
          <w:szCs w:val="28"/>
        </w:rPr>
        <w:t>, которые были израсходованы по следующим статьям расходов: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211 –заработная плата 219439,81 рублей в т.ч. НДФЛ 33846,00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213 –начисление на оплату труда41003,62 рублей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 221 услуги связи – 8574,05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Статья 223 – коммунальные услуги </w:t>
      </w:r>
      <w:r w:rsidRPr="00921B6E">
        <w:rPr>
          <w:b/>
          <w:sz w:val="28"/>
          <w:szCs w:val="28"/>
        </w:rPr>
        <w:t>87 313,46</w:t>
      </w:r>
      <w:r w:rsidRPr="00921B6E">
        <w:rPr>
          <w:sz w:val="28"/>
          <w:szCs w:val="28"/>
        </w:rPr>
        <w:t xml:space="preserve"> ,в том числе теплоснабжение 21689,69, ООО «</w:t>
      </w:r>
      <w:proofErr w:type="spellStart"/>
      <w:r w:rsidRPr="00921B6E">
        <w:rPr>
          <w:sz w:val="28"/>
          <w:szCs w:val="28"/>
        </w:rPr>
        <w:t>Аквасети</w:t>
      </w:r>
      <w:proofErr w:type="spellEnd"/>
      <w:r w:rsidRPr="00921B6E">
        <w:rPr>
          <w:sz w:val="28"/>
          <w:szCs w:val="28"/>
        </w:rPr>
        <w:t xml:space="preserve">» 53431,48, </w:t>
      </w:r>
      <w:proofErr w:type="spellStart"/>
      <w:r w:rsidRPr="00921B6E">
        <w:rPr>
          <w:sz w:val="28"/>
          <w:szCs w:val="28"/>
        </w:rPr>
        <w:t>эл</w:t>
      </w:r>
      <w:proofErr w:type="spellEnd"/>
      <w:r w:rsidRPr="00921B6E">
        <w:rPr>
          <w:sz w:val="28"/>
          <w:szCs w:val="28"/>
        </w:rPr>
        <w:t xml:space="preserve">. энергия </w:t>
      </w:r>
      <w:proofErr w:type="spellStart"/>
      <w:r w:rsidRPr="00921B6E">
        <w:rPr>
          <w:sz w:val="28"/>
          <w:szCs w:val="28"/>
        </w:rPr>
        <w:t>мто</w:t>
      </w:r>
      <w:proofErr w:type="spellEnd"/>
      <w:r w:rsidRPr="00921B6E">
        <w:rPr>
          <w:sz w:val="28"/>
          <w:szCs w:val="28"/>
        </w:rPr>
        <w:t xml:space="preserve"> 1986,63, </w:t>
      </w:r>
      <w:proofErr w:type="spellStart"/>
      <w:r w:rsidRPr="00921B6E">
        <w:rPr>
          <w:sz w:val="28"/>
          <w:szCs w:val="28"/>
        </w:rPr>
        <w:t>эл</w:t>
      </w:r>
      <w:proofErr w:type="spellEnd"/>
      <w:r w:rsidRPr="00921B6E">
        <w:rPr>
          <w:sz w:val="28"/>
          <w:szCs w:val="28"/>
        </w:rPr>
        <w:t>. энергия администрация – 10205,66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Статья 290 – государственная пошлина 9800,00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Статья 340 – увеличение стоимости </w:t>
      </w:r>
      <w:proofErr w:type="gramStart"/>
      <w:r w:rsidRPr="00921B6E">
        <w:rPr>
          <w:sz w:val="28"/>
          <w:szCs w:val="28"/>
        </w:rPr>
        <w:t>материальных</w:t>
      </w:r>
      <w:proofErr w:type="gramEnd"/>
      <w:r w:rsidRPr="00921B6E">
        <w:rPr>
          <w:sz w:val="28"/>
          <w:szCs w:val="28"/>
        </w:rPr>
        <w:t xml:space="preserve"> запасов-</w:t>
      </w:r>
      <w:r w:rsidRPr="00921B6E">
        <w:rPr>
          <w:b/>
          <w:sz w:val="28"/>
          <w:szCs w:val="28"/>
        </w:rPr>
        <w:t>30 972,81</w:t>
      </w:r>
      <w:r w:rsidRPr="00921B6E">
        <w:rPr>
          <w:sz w:val="28"/>
          <w:szCs w:val="28"/>
        </w:rPr>
        <w:t>в том числе: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Хозяйственные расходы – 6134,91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Электротовары – 5431,40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обоев, клея, краски – 15626,50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кабеля – 420,00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Приобретение светодиодных ламп – 3360,00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По состоянию на 01 января 2018 года кредиторская задолженность по коммунальным услугам составляет: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ООО </w:t>
      </w:r>
      <w:proofErr w:type="spellStart"/>
      <w:r w:rsidRPr="00921B6E">
        <w:rPr>
          <w:sz w:val="28"/>
          <w:szCs w:val="28"/>
        </w:rPr>
        <w:t>Аквасети</w:t>
      </w:r>
      <w:proofErr w:type="spellEnd"/>
      <w:r w:rsidRPr="00921B6E">
        <w:rPr>
          <w:sz w:val="28"/>
          <w:szCs w:val="28"/>
        </w:rPr>
        <w:t>: 85374,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Командировочные расходы-6500,00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За монтаж сигнализац</w:t>
      </w:r>
      <w:proofErr w:type="gramStart"/>
      <w:r w:rsidRPr="00921B6E">
        <w:rPr>
          <w:sz w:val="28"/>
          <w:szCs w:val="28"/>
        </w:rPr>
        <w:t>ии  ООО</w:t>
      </w:r>
      <w:proofErr w:type="gramEnd"/>
      <w:r w:rsidRPr="00921B6E">
        <w:rPr>
          <w:sz w:val="28"/>
          <w:szCs w:val="28"/>
        </w:rPr>
        <w:t xml:space="preserve"> ЧОП «Лидер»-99819,61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Расчеты по страховым взносам  в ПФР-2538,64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Расчеты по страховым взносам ФФОМС-380,43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Дебиторская задолженность за нанимателями помещений составила 260210,16 из них  ИП Александрова Ю.А. – 7255,62, </w:t>
      </w:r>
      <w:proofErr w:type="spellStart"/>
      <w:r w:rsidRPr="00921B6E">
        <w:rPr>
          <w:sz w:val="28"/>
          <w:szCs w:val="28"/>
        </w:rPr>
        <w:t>общежитиесоставляет</w:t>
      </w:r>
      <w:proofErr w:type="spellEnd"/>
      <w:r w:rsidRPr="00921B6E">
        <w:rPr>
          <w:sz w:val="28"/>
          <w:szCs w:val="28"/>
        </w:rPr>
        <w:t xml:space="preserve">  252954,54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921B6E">
        <w:rPr>
          <w:sz w:val="28"/>
          <w:szCs w:val="28"/>
        </w:rPr>
        <w:t>По взысканию задолженности по общежитию выставлены уведомления о задолженности, дела переданы в суд, получены судебные приказы на взыскание задолженности в сумме 121595,44 руб., направлялись претензии  к юридическим лицам (ИП Александрова Ю.и, ООО «Сапфир».</w:t>
      </w:r>
      <w:proofErr w:type="gramEnd"/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proofErr w:type="gramStart"/>
      <w:r w:rsidRPr="00921B6E">
        <w:rPr>
          <w:sz w:val="28"/>
          <w:szCs w:val="28"/>
        </w:rPr>
        <w:t xml:space="preserve">Всего за 2017 год было получено безвозмездно основных средств на сумму 3 864 871,52 начисленная амортизация 3 355 554,12 из них недвижимое имущество 1 233 086,00 руб. сумма начисленной амортизации составила 1 233 086,00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 xml:space="preserve">, прочее движимое имущество на сумму 2 631 785,59 сумма начисленной амортизации 2 122 468,12 руб. Куплено ОС на сумму 231247,00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 xml:space="preserve">, из них амортизировано </w:t>
      </w:r>
      <w:proofErr w:type="spellStart"/>
      <w:r w:rsidRPr="00921B6E">
        <w:rPr>
          <w:sz w:val="28"/>
          <w:szCs w:val="28"/>
        </w:rPr>
        <w:t>насумму</w:t>
      </w:r>
      <w:proofErr w:type="spellEnd"/>
      <w:proofErr w:type="gramEnd"/>
      <w:r w:rsidRPr="00921B6E">
        <w:rPr>
          <w:sz w:val="28"/>
          <w:szCs w:val="28"/>
        </w:rPr>
        <w:t xml:space="preserve"> </w:t>
      </w:r>
      <w:proofErr w:type="gramStart"/>
      <w:r w:rsidRPr="00921B6E">
        <w:rPr>
          <w:sz w:val="28"/>
          <w:szCs w:val="28"/>
        </w:rPr>
        <w:t xml:space="preserve">140088,25, остаточная 91158,75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 xml:space="preserve">, списано на </w:t>
      </w:r>
      <w:proofErr w:type="spellStart"/>
      <w:r w:rsidRPr="00921B6E">
        <w:rPr>
          <w:sz w:val="28"/>
          <w:szCs w:val="28"/>
        </w:rPr>
        <w:t>забалансовый</w:t>
      </w:r>
      <w:proofErr w:type="spellEnd"/>
      <w:r w:rsidRPr="00921B6E">
        <w:rPr>
          <w:sz w:val="28"/>
          <w:szCs w:val="28"/>
        </w:rPr>
        <w:t xml:space="preserve"> счет две единицы на сумму 2540,00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 xml:space="preserve">, на конец отчетного года балансовая стоимость основных средств составила 4 093 578,52 из них недвижимое имущество в сумме 1 233 086,00 руб., иное движимое имущество 3 562 461,88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 xml:space="preserve">, начисленная амортизация недвижимого имущества 1 233 086,00 руб., амортизация иного движимого имущества 2 329 375,88 </w:t>
      </w:r>
      <w:proofErr w:type="spellStart"/>
      <w:r w:rsidRPr="00921B6E">
        <w:rPr>
          <w:sz w:val="28"/>
          <w:szCs w:val="28"/>
        </w:rPr>
        <w:t>руб</w:t>
      </w:r>
      <w:proofErr w:type="spellEnd"/>
      <w:r w:rsidRPr="00921B6E">
        <w:rPr>
          <w:sz w:val="28"/>
          <w:szCs w:val="28"/>
        </w:rPr>
        <w:t>, остаточная</w:t>
      </w:r>
      <w:proofErr w:type="gramEnd"/>
      <w:r w:rsidRPr="00921B6E">
        <w:rPr>
          <w:sz w:val="28"/>
          <w:szCs w:val="28"/>
        </w:rPr>
        <w:t xml:space="preserve"> стоимость основных средств 531 116,64 руб. Недвижимое имущество передано в оперативное управление: Здание по ул. Савватеевская д.23, здание по ул. Ленина д.51 пом.2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lastRenderedPageBreak/>
        <w:t>За 2017 год было приобретено материальных запасов на сумму 30972,81 руб. от доходов  по платным услугам, все эти материальные запасы были списаны.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С бюджетных средств было приобретено материальных запасов на сумму 972062,18 руб. списано на 958486,69 руб. остаточная стоимость на конец года составила 13575,49 руб.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В течение года в  организации менялось штатное количество должностных лиц: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 на 01.01.2017 года -14 единиц финансирование со средств бюджета,8 единиц финансирование со сре</w:t>
      </w:r>
      <w:proofErr w:type="gramStart"/>
      <w:r w:rsidRPr="00921B6E">
        <w:rPr>
          <w:sz w:val="28"/>
          <w:szCs w:val="28"/>
        </w:rPr>
        <w:t>дств пл</w:t>
      </w:r>
      <w:proofErr w:type="gramEnd"/>
      <w:r w:rsidRPr="00921B6E">
        <w:rPr>
          <w:sz w:val="28"/>
          <w:szCs w:val="28"/>
        </w:rPr>
        <w:t>атных услуг, всего 22 штатные единицы;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17.03.2017 года -18 единиц финансирование со средств бюджета,8 единиц финансирование со сре</w:t>
      </w:r>
      <w:proofErr w:type="gramStart"/>
      <w:r w:rsidRPr="00921B6E">
        <w:rPr>
          <w:sz w:val="28"/>
          <w:szCs w:val="28"/>
        </w:rPr>
        <w:t>дств пл</w:t>
      </w:r>
      <w:proofErr w:type="gramEnd"/>
      <w:r w:rsidRPr="00921B6E">
        <w:rPr>
          <w:sz w:val="28"/>
          <w:szCs w:val="28"/>
        </w:rPr>
        <w:t xml:space="preserve">атных услуг, всего 26 штатные единицы; 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03.04.2017 года -21 единица финансирование со средств бюджета,8 единиц финансирование со сре</w:t>
      </w:r>
      <w:proofErr w:type="gramStart"/>
      <w:r w:rsidRPr="00921B6E">
        <w:rPr>
          <w:sz w:val="28"/>
          <w:szCs w:val="28"/>
        </w:rPr>
        <w:t>дств пл</w:t>
      </w:r>
      <w:proofErr w:type="gramEnd"/>
      <w:r w:rsidRPr="00921B6E">
        <w:rPr>
          <w:sz w:val="28"/>
          <w:szCs w:val="28"/>
        </w:rPr>
        <w:t xml:space="preserve">атных услуг, всего 29 штатные единицы; 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12.04.2017 года -23,5 единица финансирование со средств бюджета,8 единиц финансирование со средств платных услуг, всего 31,5</w:t>
      </w:r>
      <w:proofErr w:type="gramStart"/>
      <w:r w:rsidRPr="00921B6E">
        <w:rPr>
          <w:sz w:val="28"/>
          <w:szCs w:val="28"/>
        </w:rPr>
        <w:t>штатные</w:t>
      </w:r>
      <w:proofErr w:type="gramEnd"/>
      <w:r w:rsidRPr="00921B6E">
        <w:rPr>
          <w:sz w:val="28"/>
          <w:szCs w:val="28"/>
        </w:rPr>
        <w:t xml:space="preserve"> единиц;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19.04.2017 года -26,5 единица финансирование со средств бюджета,7 единиц финансирование со сре</w:t>
      </w:r>
      <w:proofErr w:type="gramStart"/>
      <w:r w:rsidRPr="00921B6E">
        <w:rPr>
          <w:sz w:val="28"/>
          <w:szCs w:val="28"/>
        </w:rPr>
        <w:t>дств пл</w:t>
      </w:r>
      <w:proofErr w:type="gramEnd"/>
      <w:r w:rsidRPr="00921B6E">
        <w:rPr>
          <w:sz w:val="28"/>
          <w:szCs w:val="28"/>
        </w:rPr>
        <w:t xml:space="preserve">атных услуг, всего 33,5 штатные единицы; 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04.09.2017 года -23,5 единица финансирование со средств бюджета;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18.10.2017 года -23 единица финансирование со средств бюджета;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-на 01.11.2017 года -16,5 единица финансирование со средств бюджета;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В октябре 2017годаБорзинской </w:t>
      </w:r>
      <w:proofErr w:type="spellStart"/>
      <w:r w:rsidRPr="00921B6E">
        <w:rPr>
          <w:sz w:val="28"/>
          <w:szCs w:val="28"/>
        </w:rPr>
        <w:t>межрайпрокуратурой</w:t>
      </w:r>
      <w:proofErr w:type="spellEnd"/>
      <w:r w:rsidRPr="00921B6E">
        <w:rPr>
          <w:sz w:val="28"/>
          <w:szCs w:val="28"/>
        </w:rPr>
        <w:t xml:space="preserve"> проводилась проверка</w:t>
      </w:r>
      <w:r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>Законодательства о муниципальной собственности, в связи с этим предоставляли информацию  о перечне имущества, закреплённого  за МУ «Служба МТО».По результатам проверки установлено, что Администрацией городского поселения «Борзинское» на основании договора о передачи объектов муниципальной собственности от 17.03.2017 г №3 передано нежилое помещение №1 общей площадью 691,4 кв.м по адресу г</w:t>
      </w:r>
      <w:proofErr w:type="gramStart"/>
      <w:r w:rsidRPr="00921B6E">
        <w:rPr>
          <w:sz w:val="28"/>
          <w:szCs w:val="28"/>
        </w:rPr>
        <w:t>.Б</w:t>
      </w:r>
      <w:proofErr w:type="gramEnd"/>
      <w:r w:rsidRPr="00921B6E">
        <w:rPr>
          <w:sz w:val="28"/>
          <w:szCs w:val="28"/>
        </w:rPr>
        <w:t>орзя,ул.Савватеевская,д.23</w:t>
      </w:r>
      <w:bookmarkStart w:id="0" w:name="_GoBack"/>
      <w:bookmarkEnd w:id="0"/>
      <w:r w:rsidRPr="00921B6E">
        <w:rPr>
          <w:sz w:val="28"/>
          <w:szCs w:val="28"/>
        </w:rPr>
        <w:t>муниципальному учреждению «Служба МТО» на праве оперативного управления не зарегистрировано.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Приняты меры по устранению допущенных нарушений, зарегистрировали право оперативного управления 14.12.2017г.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В соответствии с постановлением главы городского поселения «Борзинское» от 14 февраля 2017 года №78 при МУ «Служба МТО» была создана централизованная </w:t>
      </w:r>
      <w:proofErr w:type="gramStart"/>
      <w:r w:rsidRPr="00921B6E">
        <w:rPr>
          <w:sz w:val="28"/>
          <w:szCs w:val="28"/>
        </w:rPr>
        <w:t>бухгалтерия</w:t>
      </w:r>
      <w:proofErr w:type="gramEnd"/>
      <w:r w:rsidRPr="00921B6E">
        <w:rPr>
          <w:sz w:val="28"/>
          <w:szCs w:val="28"/>
        </w:rPr>
        <w:t xml:space="preserve"> которая являлась структурным подразделением муниципального учреждения. </w:t>
      </w:r>
      <w:proofErr w:type="gramStart"/>
      <w:r w:rsidRPr="00921B6E">
        <w:rPr>
          <w:sz w:val="28"/>
          <w:szCs w:val="28"/>
        </w:rPr>
        <w:t>Согласно положения</w:t>
      </w:r>
      <w:proofErr w:type="gramEnd"/>
      <w:r w:rsidRPr="00921B6E">
        <w:rPr>
          <w:sz w:val="28"/>
          <w:szCs w:val="28"/>
        </w:rPr>
        <w:t xml:space="preserve"> о ЦБ, возглавлял централизованную бухгалтерию главный бухгалтер Гончарова Г.В. назначена мною на должность и согласована с главой ГП «Борзинское» Яковлевым Н.Н. 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lastRenderedPageBreak/>
        <w:t>На основании распоряжения Главы администрации городского поселения «Борзинское» от 19.09.2017г№455-р была назначена проверка осуществления контроля  за правильным ведением  бухгалтерского</w:t>
      </w:r>
      <w:proofErr w:type="gramStart"/>
      <w:r w:rsidRPr="00921B6E">
        <w:rPr>
          <w:sz w:val="28"/>
          <w:szCs w:val="28"/>
        </w:rPr>
        <w:t xml:space="preserve"> ,</w:t>
      </w:r>
      <w:proofErr w:type="gramEnd"/>
      <w:r w:rsidRPr="00921B6E">
        <w:rPr>
          <w:sz w:val="28"/>
          <w:szCs w:val="28"/>
        </w:rPr>
        <w:t>налогового учета Централизованной бухгалтерии.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За период  работы главного бухгалтера, замечаний  не было. С отражением бухгалтерских операций все нормально. 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Данная проверка проводилась начальником отдела бухгалтерского учета отчетности и финансов АГП «Борзинское» Ж.А.Блохиной и членами комиссии: главный специалист отдела </w:t>
      </w:r>
      <w:proofErr w:type="spellStart"/>
      <w:r w:rsidRPr="00921B6E">
        <w:rPr>
          <w:sz w:val="28"/>
          <w:szCs w:val="28"/>
        </w:rPr>
        <w:t>БУОиФ</w:t>
      </w:r>
      <w:proofErr w:type="spellEnd"/>
      <w:r w:rsidRPr="00921B6E">
        <w:rPr>
          <w:sz w:val="28"/>
          <w:szCs w:val="28"/>
        </w:rPr>
        <w:t xml:space="preserve"> Н.В </w:t>
      </w:r>
      <w:proofErr w:type="spellStart"/>
      <w:r w:rsidRPr="00921B6E">
        <w:rPr>
          <w:sz w:val="28"/>
          <w:szCs w:val="28"/>
        </w:rPr>
        <w:t>Упоровой</w:t>
      </w:r>
      <w:proofErr w:type="spellEnd"/>
      <w:r w:rsidRPr="00921B6E">
        <w:rPr>
          <w:sz w:val="28"/>
          <w:szCs w:val="28"/>
        </w:rPr>
        <w:t xml:space="preserve">, главным специалистом отдела </w:t>
      </w:r>
      <w:proofErr w:type="spellStart"/>
      <w:r w:rsidRPr="00921B6E">
        <w:rPr>
          <w:sz w:val="28"/>
          <w:szCs w:val="28"/>
        </w:rPr>
        <w:t>БУОиФ</w:t>
      </w:r>
      <w:proofErr w:type="spellEnd"/>
      <w:r w:rsidRPr="00921B6E">
        <w:rPr>
          <w:sz w:val="28"/>
          <w:szCs w:val="28"/>
        </w:rPr>
        <w:t xml:space="preserve"> Е.В. </w:t>
      </w:r>
      <w:proofErr w:type="spellStart"/>
      <w:r w:rsidRPr="00921B6E">
        <w:rPr>
          <w:sz w:val="28"/>
          <w:szCs w:val="28"/>
        </w:rPr>
        <w:t>Уваровской</w:t>
      </w:r>
      <w:proofErr w:type="spellEnd"/>
      <w:r w:rsidRPr="00921B6E">
        <w:rPr>
          <w:sz w:val="28"/>
          <w:szCs w:val="28"/>
        </w:rPr>
        <w:t xml:space="preserve">. Прошу Вас заметить одни начальники и главные специалисты вели проверку. Я как руководитель ознакомился с данным актом проверки. Серьезных замечаний я не увидел, документы не подшиты, приказы по оплате труда поступают не вовремя, табеля учета рабочего времени не подписаны и так далее, а самое главное не проверялась достоверность отражения бухгалтерского учета, что ставит под сомнение компетентность комиссии и в ведение в заблуждение не только главного распорядителя бюджетных средств городского поселения «Борзинское» Н.Н. </w:t>
      </w:r>
      <w:proofErr w:type="gramStart"/>
      <w:r w:rsidRPr="00921B6E">
        <w:rPr>
          <w:sz w:val="28"/>
          <w:szCs w:val="28"/>
        </w:rPr>
        <w:t>Яковлева</w:t>
      </w:r>
      <w:proofErr w:type="gramEnd"/>
      <w:r w:rsidRPr="00921B6E">
        <w:rPr>
          <w:sz w:val="28"/>
          <w:szCs w:val="28"/>
        </w:rPr>
        <w:t xml:space="preserve"> но и директора МУ «Служба МТО» В.Н.Кучеренко. </w:t>
      </w:r>
    </w:p>
    <w:p w:rsidR="00921B6E" w:rsidRP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 xml:space="preserve">На основании данного акта проверки  была  расформирована централизованная бухгалтерии, распоряжение № 517-р от 19 октября о расформировании централизованной бухгалтерии МУ «Служба МТО» данное распоряжение было исполнено незамедлительно. В данном распоряжении не учли переходный период и не провели проверку </w:t>
      </w:r>
      <w:proofErr w:type="gramStart"/>
      <w:r w:rsidRPr="00921B6E">
        <w:rPr>
          <w:sz w:val="28"/>
          <w:szCs w:val="28"/>
        </w:rPr>
        <w:t>контроля за</w:t>
      </w:r>
      <w:proofErr w:type="gramEnd"/>
      <w:r w:rsidRPr="00921B6E">
        <w:rPr>
          <w:sz w:val="28"/>
          <w:szCs w:val="28"/>
        </w:rPr>
        <w:t xml:space="preserve"> правильным ведением бухгалтерского контроля и налоговой отчетности. </w:t>
      </w: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Все выше перечисленные факты и привели к тому, что МУ «Служба МТО» вовремя не предоставила, отчет в срок до 19 января 2018г, более того считаю, что надо было довести финансовый год до конца централизованной бухгалтерией сдать все отчеты, а потом расформировываться, тем более до конца финансового года оставалось два месяца.</w:t>
      </w:r>
    </w:p>
    <w:p w:rsidR="00921B6E" w:rsidRDefault="00921B6E" w:rsidP="00921B6E">
      <w:pPr>
        <w:pStyle w:val="af0"/>
        <w:ind w:firstLine="708"/>
        <w:jc w:val="both"/>
        <w:rPr>
          <w:sz w:val="28"/>
          <w:szCs w:val="28"/>
        </w:rPr>
      </w:pPr>
      <w:r w:rsidRPr="00921B6E">
        <w:rPr>
          <w:sz w:val="28"/>
          <w:szCs w:val="28"/>
        </w:rPr>
        <w:t>В связи с расформированием ЦБ я как руководитель МУ «Служба МТО» не увидел уменьшения бюджетных средств ГП «Борзинское»,</w:t>
      </w:r>
      <w:r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>а только увеличение за счет  введения в штатное расписание главных бухгалтеров в муниципальные учреждения.</w:t>
      </w:r>
    </w:p>
    <w:p w:rsidR="00CE523A" w:rsidRPr="00921B6E" w:rsidRDefault="00CE523A" w:rsidP="00921B6E">
      <w:pPr>
        <w:pStyle w:val="af0"/>
        <w:ind w:firstLine="708"/>
        <w:jc w:val="both"/>
        <w:rPr>
          <w:sz w:val="28"/>
          <w:szCs w:val="28"/>
        </w:rPr>
      </w:pPr>
    </w:p>
    <w:p w:rsidR="00CE523A" w:rsidRPr="00921B6E" w:rsidRDefault="00BB0AE0" w:rsidP="00BB0AE0">
      <w:pPr>
        <w:pStyle w:val="af0"/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ГП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Н.Н.Яковлев</w:t>
      </w:r>
    </w:p>
    <w:p w:rsidR="00CE523A" w:rsidRDefault="00BB0AE0" w:rsidP="00BB0AE0">
      <w:pPr>
        <w:pStyle w:val="af2"/>
        <w:sectPr w:rsidR="00CE523A" w:rsidSect="005D75B5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t xml:space="preserve">      </w:t>
      </w:r>
    </w:p>
    <w:p w:rsidR="00CE523A" w:rsidRDefault="00CE523A" w:rsidP="00CE523A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CE523A" w:rsidTr="0001687F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Pr="00651FEE" w:rsidRDefault="00CE523A" w:rsidP="000168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января </w:t>
            </w:r>
          </w:p>
        </w:tc>
        <w:tc>
          <w:tcPr>
            <w:tcW w:w="425" w:type="dxa"/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CE523A" w:rsidTr="0001687F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CE523A" w:rsidTr="0001687F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CE523A" w:rsidTr="0001687F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 АПП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24750013</w:t>
            </w:r>
          </w:p>
        </w:tc>
      </w:tr>
      <w:tr w:rsidR="00CE523A" w:rsidTr="0001687F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7529003414</w:t>
            </w:r>
          </w:p>
        </w:tc>
      </w:tr>
      <w:tr w:rsidR="00CE523A" w:rsidTr="0001687F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CE523A" w:rsidRDefault="00CE523A" w:rsidP="0001687F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Архитектурная деятельность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</w:tr>
      <w:tr w:rsidR="00CE523A" w:rsidTr="0001687F">
        <w:trPr>
          <w:cantSplit/>
          <w:trHeight w:val="227"/>
        </w:trPr>
        <w:tc>
          <w:tcPr>
            <w:tcW w:w="5018" w:type="dxa"/>
            <w:gridSpan w:val="6"/>
            <w:vAlign w:val="bottom"/>
            <w:hideMark/>
          </w:tcPr>
          <w:p w:rsidR="00CE523A" w:rsidRDefault="00CE523A" w:rsidP="0001687F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23A" w:rsidTr="0001687F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before="60"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CE523A" w:rsidTr="0001687F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Единица измерения: тыс. руб.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</w:tr>
    </w:tbl>
    <w:p w:rsidR="00CE523A" w:rsidRDefault="00CE523A" w:rsidP="00CE523A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CE523A" w:rsidTr="0001687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квартал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квартал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CE523A" w:rsidTr="0001687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1757</w:t>
            </w: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1496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1926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(169)</w:t>
            </w: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(169)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        105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(72)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(274)</w:t>
            </w: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(72)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(274)</w:t>
            </w:r>
          </w:p>
        </w:tc>
      </w:tr>
    </w:tbl>
    <w:p w:rsidR="00CE523A" w:rsidRDefault="00CE523A" w:rsidP="00CE523A"/>
    <w:p w:rsidR="00CE523A" w:rsidRDefault="00CE523A" w:rsidP="00CE523A"/>
    <w:p w:rsidR="00CE523A" w:rsidRPr="00822996" w:rsidRDefault="00CE523A" w:rsidP="00CE523A">
      <w:pPr>
        <w:rPr>
          <w:lang w:val="en-US"/>
        </w:rPr>
      </w:pPr>
    </w:p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p w:rsidR="00CE523A" w:rsidRDefault="00CE523A" w:rsidP="00CE5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CE523A" w:rsidTr="0001687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523A" w:rsidTr="0001687F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CE523A" w:rsidTr="0001687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before="240"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внеоборотных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before="60"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(72)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(274)</w:t>
            </w: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E523A" w:rsidTr="0001687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E523A" w:rsidRDefault="00CE523A" w:rsidP="00CE523A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CE523A" w:rsidTr="0001687F">
        <w:tc>
          <w:tcPr>
            <w:tcW w:w="1332" w:type="dxa"/>
            <w:vAlign w:val="bottom"/>
            <w:hideMark/>
          </w:tcPr>
          <w:p w:rsidR="00CE523A" w:rsidRDefault="00BB0AE0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ГП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Борзинское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BB0AE0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Н.Н.Яковлев</w:t>
            </w:r>
          </w:p>
        </w:tc>
        <w:tc>
          <w:tcPr>
            <w:tcW w:w="1162" w:type="dxa"/>
            <w:vAlign w:val="bottom"/>
            <w:hideMark/>
          </w:tcPr>
          <w:p w:rsidR="00CE523A" w:rsidRDefault="00CE523A" w:rsidP="0001687F">
            <w:pPr>
              <w:spacing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</w:t>
            </w:r>
            <w:r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23A" w:rsidTr="0001687F">
        <w:tc>
          <w:tcPr>
            <w:tcW w:w="1332" w:type="dxa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CE523A" w:rsidRDefault="00CE523A" w:rsidP="00CE523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CE523A" w:rsidTr="0001687F">
        <w:tc>
          <w:tcPr>
            <w:tcW w:w="170" w:type="dxa"/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  <w:hideMark/>
          </w:tcPr>
          <w:p w:rsidR="00CE523A" w:rsidRDefault="00CE523A" w:rsidP="0001687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523A" w:rsidRDefault="00CE523A" w:rsidP="000168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0" w:type="dxa"/>
            <w:vAlign w:val="bottom"/>
            <w:hideMark/>
          </w:tcPr>
          <w:p w:rsidR="00CE523A" w:rsidRDefault="00CE523A" w:rsidP="0001687F">
            <w:pPr>
              <w:spacing w:line="276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E523A" w:rsidRDefault="00CE523A" w:rsidP="00CE523A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CE523A" w:rsidRDefault="00CE523A" w:rsidP="00CE523A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CE523A" w:rsidRDefault="00CE523A" w:rsidP="00CE523A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</w:t>
      </w:r>
      <w:proofErr w:type="gramEnd"/>
      <w:r>
        <w:rPr>
          <w:rFonts w:ascii="Arial" w:hAnsi="Arial" w:cs="Arial"/>
          <w:sz w:val="14"/>
          <w:szCs w:val="14"/>
        </w:rPr>
        <w:t xml:space="preserve">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CE523A" w:rsidRDefault="00CE523A" w:rsidP="00CE523A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отчетный период.</w:t>
      </w:r>
    </w:p>
    <w:p w:rsidR="00CE523A" w:rsidRDefault="00CE523A" w:rsidP="00CE523A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период предыдущего года, аналогичный отчетному периоду.</w:t>
      </w:r>
    </w:p>
    <w:p w:rsidR="00CE523A" w:rsidRDefault="00CE523A" w:rsidP="00CE523A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CE523A" w:rsidRDefault="00CE523A" w:rsidP="00CE523A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>
        <w:rPr>
          <w:rFonts w:ascii="Arial" w:hAnsi="Arial" w:cs="Arial"/>
          <w:sz w:val="14"/>
          <w:szCs w:val="14"/>
        </w:rPr>
        <w:t>внеоборотных</w:t>
      </w:r>
      <w:proofErr w:type="spellEnd"/>
      <w:r>
        <w:rPr>
          <w:rFonts w:ascii="Arial" w:hAnsi="Arial" w:cs="Arial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CE523A" w:rsidRDefault="00CE523A" w:rsidP="00CE523A"/>
    <w:p w:rsidR="00CE523A" w:rsidRDefault="00CE523A" w:rsidP="00CE523A"/>
    <w:p w:rsidR="00CE523A" w:rsidRDefault="00CE523A" w:rsidP="00CE523A"/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Pr="00921B6E" w:rsidRDefault="00921B6E" w:rsidP="00921B6E">
      <w:pPr>
        <w:pStyle w:val="af0"/>
        <w:jc w:val="both"/>
        <w:rPr>
          <w:sz w:val="28"/>
          <w:szCs w:val="28"/>
        </w:rPr>
      </w:pPr>
    </w:p>
    <w:p w:rsidR="00921B6E" w:rsidRDefault="00921B6E" w:rsidP="00921B6E">
      <w:pPr>
        <w:pStyle w:val="af"/>
      </w:pPr>
    </w:p>
    <w:sectPr w:rsidR="00921B6E" w:rsidSect="005D75B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4E" w:rsidRDefault="003E1A4E">
      <w:r>
        <w:separator/>
      </w:r>
    </w:p>
  </w:endnote>
  <w:endnote w:type="continuationSeparator" w:id="0">
    <w:p w:rsidR="003E1A4E" w:rsidRDefault="003E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4E" w:rsidRDefault="003E1A4E">
      <w:r>
        <w:separator/>
      </w:r>
    </w:p>
  </w:footnote>
  <w:footnote w:type="continuationSeparator" w:id="0">
    <w:p w:rsidR="003E1A4E" w:rsidRDefault="003E1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E" w:rsidRDefault="00E76775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1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21E" w:rsidRDefault="00BE121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1E" w:rsidRDefault="00E76775">
    <w:pPr>
      <w:pStyle w:val="a3"/>
      <w:jc w:val="center"/>
    </w:pPr>
    <w:fldSimple w:instr=" PAGE   \* MERGEFORMAT ">
      <w:r w:rsidR="00BB0AE0">
        <w:rPr>
          <w:noProof/>
        </w:rPr>
        <w:t>2</w:t>
      </w:r>
    </w:fldSimple>
  </w:p>
  <w:p w:rsidR="00BE121E" w:rsidRDefault="00BE121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93424"/>
    <w:multiLevelType w:val="hybridMultilevel"/>
    <w:tmpl w:val="5C66195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952"/>
    <w:multiLevelType w:val="multilevel"/>
    <w:tmpl w:val="F27C2C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4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D1C08"/>
    <w:multiLevelType w:val="hybridMultilevel"/>
    <w:tmpl w:val="EA3E0FDE"/>
    <w:lvl w:ilvl="0" w:tplc="82687870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0A65742"/>
    <w:multiLevelType w:val="hybridMultilevel"/>
    <w:tmpl w:val="069856BC"/>
    <w:lvl w:ilvl="0" w:tplc="7D7EB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985B05"/>
    <w:multiLevelType w:val="hybridMultilevel"/>
    <w:tmpl w:val="875C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EF"/>
    <w:rsid w:val="000153BF"/>
    <w:rsid w:val="00016DA4"/>
    <w:rsid w:val="00021A16"/>
    <w:rsid w:val="00030654"/>
    <w:rsid w:val="0003203D"/>
    <w:rsid w:val="00033218"/>
    <w:rsid w:val="0004345F"/>
    <w:rsid w:val="000441B3"/>
    <w:rsid w:val="00044507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83E96"/>
    <w:rsid w:val="00091FB6"/>
    <w:rsid w:val="000A55C7"/>
    <w:rsid w:val="000B04A3"/>
    <w:rsid w:val="000B4C52"/>
    <w:rsid w:val="000C2E17"/>
    <w:rsid w:val="000C3B2E"/>
    <w:rsid w:val="000C54FB"/>
    <w:rsid w:val="000C58C9"/>
    <w:rsid w:val="000C79A6"/>
    <w:rsid w:val="000D09B5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30ED2"/>
    <w:rsid w:val="00131E57"/>
    <w:rsid w:val="0013364C"/>
    <w:rsid w:val="00142C79"/>
    <w:rsid w:val="0014745C"/>
    <w:rsid w:val="001527CF"/>
    <w:rsid w:val="00153A23"/>
    <w:rsid w:val="00162D83"/>
    <w:rsid w:val="0016343E"/>
    <w:rsid w:val="00163FD0"/>
    <w:rsid w:val="001678FC"/>
    <w:rsid w:val="001702C7"/>
    <w:rsid w:val="00171196"/>
    <w:rsid w:val="00175B37"/>
    <w:rsid w:val="00183E01"/>
    <w:rsid w:val="001C04F2"/>
    <w:rsid w:val="001D1D8C"/>
    <w:rsid w:val="001D2EB1"/>
    <w:rsid w:val="001D38F0"/>
    <w:rsid w:val="001D7335"/>
    <w:rsid w:val="001D7D39"/>
    <w:rsid w:val="001F33BC"/>
    <w:rsid w:val="001F3951"/>
    <w:rsid w:val="001F3A55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6C02"/>
    <w:rsid w:val="00257F5F"/>
    <w:rsid w:val="0026044D"/>
    <w:rsid w:val="002619B0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2D1E"/>
    <w:rsid w:val="002D3598"/>
    <w:rsid w:val="002D7DFF"/>
    <w:rsid w:val="002E17B4"/>
    <w:rsid w:val="002E47BD"/>
    <w:rsid w:val="002E5726"/>
    <w:rsid w:val="002E769E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777E"/>
    <w:rsid w:val="00352EFE"/>
    <w:rsid w:val="003536C0"/>
    <w:rsid w:val="003540D8"/>
    <w:rsid w:val="0038140A"/>
    <w:rsid w:val="00385503"/>
    <w:rsid w:val="003B1BC2"/>
    <w:rsid w:val="003C0D76"/>
    <w:rsid w:val="003C4738"/>
    <w:rsid w:val="003C4CBA"/>
    <w:rsid w:val="003C5B3F"/>
    <w:rsid w:val="003C6B19"/>
    <w:rsid w:val="003D642B"/>
    <w:rsid w:val="003E1A4E"/>
    <w:rsid w:val="003F5814"/>
    <w:rsid w:val="003F7BC8"/>
    <w:rsid w:val="00402730"/>
    <w:rsid w:val="004059FF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4265"/>
    <w:rsid w:val="00467B9E"/>
    <w:rsid w:val="0047499F"/>
    <w:rsid w:val="00475CCB"/>
    <w:rsid w:val="004809DA"/>
    <w:rsid w:val="00482B27"/>
    <w:rsid w:val="00483D3A"/>
    <w:rsid w:val="00487006"/>
    <w:rsid w:val="00495C08"/>
    <w:rsid w:val="004A1565"/>
    <w:rsid w:val="004A2EA7"/>
    <w:rsid w:val="004A334A"/>
    <w:rsid w:val="004A4AA9"/>
    <w:rsid w:val="004B19E6"/>
    <w:rsid w:val="004B5BB8"/>
    <w:rsid w:val="004B5F0A"/>
    <w:rsid w:val="004B697C"/>
    <w:rsid w:val="004B6AB4"/>
    <w:rsid w:val="004D0200"/>
    <w:rsid w:val="004D6013"/>
    <w:rsid w:val="004E2C0E"/>
    <w:rsid w:val="004E3BE3"/>
    <w:rsid w:val="004E7478"/>
    <w:rsid w:val="004F213E"/>
    <w:rsid w:val="004F3289"/>
    <w:rsid w:val="004F6586"/>
    <w:rsid w:val="00502D5B"/>
    <w:rsid w:val="0050358F"/>
    <w:rsid w:val="00503B4A"/>
    <w:rsid w:val="00510242"/>
    <w:rsid w:val="00512241"/>
    <w:rsid w:val="00514B13"/>
    <w:rsid w:val="00517D64"/>
    <w:rsid w:val="00526157"/>
    <w:rsid w:val="00526A76"/>
    <w:rsid w:val="00530BBA"/>
    <w:rsid w:val="00532038"/>
    <w:rsid w:val="00533A79"/>
    <w:rsid w:val="00543B43"/>
    <w:rsid w:val="00550FC3"/>
    <w:rsid w:val="005511A0"/>
    <w:rsid w:val="00553098"/>
    <w:rsid w:val="00553D7C"/>
    <w:rsid w:val="00556295"/>
    <w:rsid w:val="005564D8"/>
    <w:rsid w:val="00561399"/>
    <w:rsid w:val="005676DC"/>
    <w:rsid w:val="00567EFE"/>
    <w:rsid w:val="005707B9"/>
    <w:rsid w:val="0057590F"/>
    <w:rsid w:val="00577BA5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6534"/>
    <w:rsid w:val="005D749F"/>
    <w:rsid w:val="005D75B5"/>
    <w:rsid w:val="005E300B"/>
    <w:rsid w:val="005E53CE"/>
    <w:rsid w:val="005E68AD"/>
    <w:rsid w:val="005F2726"/>
    <w:rsid w:val="0060008A"/>
    <w:rsid w:val="00607943"/>
    <w:rsid w:val="00615707"/>
    <w:rsid w:val="0061777E"/>
    <w:rsid w:val="0062224A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80464"/>
    <w:rsid w:val="006967CD"/>
    <w:rsid w:val="006A0BE8"/>
    <w:rsid w:val="006A42DD"/>
    <w:rsid w:val="006A504C"/>
    <w:rsid w:val="006B1EA3"/>
    <w:rsid w:val="006B2F3E"/>
    <w:rsid w:val="006B3CFC"/>
    <w:rsid w:val="006B5201"/>
    <w:rsid w:val="006C457E"/>
    <w:rsid w:val="006C707A"/>
    <w:rsid w:val="006D7A1B"/>
    <w:rsid w:val="006E2C4F"/>
    <w:rsid w:val="006E4767"/>
    <w:rsid w:val="006E5DA7"/>
    <w:rsid w:val="006F20BC"/>
    <w:rsid w:val="006F2BAD"/>
    <w:rsid w:val="006F6D74"/>
    <w:rsid w:val="006F6DE1"/>
    <w:rsid w:val="00705B26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0460"/>
    <w:rsid w:val="007526C4"/>
    <w:rsid w:val="00753F7A"/>
    <w:rsid w:val="007637F6"/>
    <w:rsid w:val="007666AB"/>
    <w:rsid w:val="00770B44"/>
    <w:rsid w:val="007751D8"/>
    <w:rsid w:val="00780229"/>
    <w:rsid w:val="00784551"/>
    <w:rsid w:val="00787654"/>
    <w:rsid w:val="00793EFC"/>
    <w:rsid w:val="00794469"/>
    <w:rsid w:val="007979E0"/>
    <w:rsid w:val="007A1C89"/>
    <w:rsid w:val="007B0F53"/>
    <w:rsid w:val="007C0EC8"/>
    <w:rsid w:val="007C5D4C"/>
    <w:rsid w:val="007C716F"/>
    <w:rsid w:val="007E39C2"/>
    <w:rsid w:val="007F351F"/>
    <w:rsid w:val="008003B1"/>
    <w:rsid w:val="00805AEE"/>
    <w:rsid w:val="00810C63"/>
    <w:rsid w:val="00811C5A"/>
    <w:rsid w:val="0081303E"/>
    <w:rsid w:val="00814C5E"/>
    <w:rsid w:val="008219E0"/>
    <w:rsid w:val="00826CB0"/>
    <w:rsid w:val="00831975"/>
    <w:rsid w:val="0083422C"/>
    <w:rsid w:val="00835DBD"/>
    <w:rsid w:val="008376C4"/>
    <w:rsid w:val="00846A1F"/>
    <w:rsid w:val="008616F4"/>
    <w:rsid w:val="0086391A"/>
    <w:rsid w:val="00873033"/>
    <w:rsid w:val="00873620"/>
    <w:rsid w:val="00874435"/>
    <w:rsid w:val="00884786"/>
    <w:rsid w:val="0088678A"/>
    <w:rsid w:val="008869E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4D54"/>
    <w:rsid w:val="008D5404"/>
    <w:rsid w:val="008E2843"/>
    <w:rsid w:val="008E41E1"/>
    <w:rsid w:val="008E7730"/>
    <w:rsid w:val="008F1410"/>
    <w:rsid w:val="008F5AED"/>
    <w:rsid w:val="009025EB"/>
    <w:rsid w:val="00904FD3"/>
    <w:rsid w:val="00913163"/>
    <w:rsid w:val="00915C8E"/>
    <w:rsid w:val="009206C0"/>
    <w:rsid w:val="00921B6E"/>
    <w:rsid w:val="00921E01"/>
    <w:rsid w:val="00927468"/>
    <w:rsid w:val="00930CD2"/>
    <w:rsid w:val="0093182D"/>
    <w:rsid w:val="00932D9A"/>
    <w:rsid w:val="0093301E"/>
    <w:rsid w:val="009345C6"/>
    <w:rsid w:val="009369F5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4858"/>
    <w:rsid w:val="009D68AF"/>
    <w:rsid w:val="009E42CB"/>
    <w:rsid w:val="00A00CCD"/>
    <w:rsid w:val="00A0524A"/>
    <w:rsid w:val="00A05F1D"/>
    <w:rsid w:val="00A068A9"/>
    <w:rsid w:val="00A07953"/>
    <w:rsid w:val="00A12F3B"/>
    <w:rsid w:val="00A2095A"/>
    <w:rsid w:val="00A21397"/>
    <w:rsid w:val="00A350B5"/>
    <w:rsid w:val="00A36CD5"/>
    <w:rsid w:val="00A41B09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5F0"/>
    <w:rsid w:val="00AA7539"/>
    <w:rsid w:val="00AA7993"/>
    <w:rsid w:val="00AB3466"/>
    <w:rsid w:val="00AB4B42"/>
    <w:rsid w:val="00AB4BC2"/>
    <w:rsid w:val="00AB58F8"/>
    <w:rsid w:val="00AC18E9"/>
    <w:rsid w:val="00AC4266"/>
    <w:rsid w:val="00AD3A9A"/>
    <w:rsid w:val="00AD3F17"/>
    <w:rsid w:val="00AE21AF"/>
    <w:rsid w:val="00AE6B5D"/>
    <w:rsid w:val="00AE6FC0"/>
    <w:rsid w:val="00AF1D39"/>
    <w:rsid w:val="00AF398B"/>
    <w:rsid w:val="00AF64EA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0E99"/>
    <w:rsid w:val="00B61DF3"/>
    <w:rsid w:val="00B61E40"/>
    <w:rsid w:val="00B62555"/>
    <w:rsid w:val="00B756DD"/>
    <w:rsid w:val="00B80A81"/>
    <w:rsid w:val="00B81EB6"/>
    <w:rsid w:val="00B863AB"/>
    <w:rsid w:val="00B9499F"/>
    <w:rsid w:val="00B956A8"/>
    <w:rsid w:val="00BA5F3F"/>
    <w:rsid w:val="00BA63A8"/>
    <w:rsid w:val="00BA6C9E"/>
    <w:rsid w:val="00BA7BCC"/>
    <w:rsid w:val="00BB0AE0"/>
    <w:rsid w:val="00BB1ECD"/>
    <w:rsid w:val="00BB2FC2"/>
    <w:rsid w:val="00BB5934"/>
    <w:rsid w:val="00BB7CA4"/>
    <w:rsid w:val="00BC2AF0"/>
    <w:rsid w:val="00BC3670"/>
    <w:rsid w:val="00BC3F67"/>
    <w:rsid w:val="00BC4C7A"/>
    <w:rsid w:val="00BC5F81"/>
    <w:rsid w:val="00BE121E"/>
    <w:rsid w:val="00BE1F2F"/>
    <w:rsid w:val="00BF11E9"/>
    <w:rsid w:val="00BF3FB3"/>
    <w:rsid w:val="00C00AD5"/>
    <w:rsid w:val="00C10EF3"/>
    <w:rsid w:val="00C157B7"/>
    <w:rsid w:val="00C15FEA"/>
    <w:rsid w:val="00C25A7E"/>
    <w:rsid w:val="00C334BD"/>
    <w:rsid w:val="00C53CD6"/>
    <w:rsid w:val="00C612B9"/>
    <w:rsid w:val="00C70099"/>
    <w:rsid w:val="00C70FED"/>
    <w:rsid w:val="00C71837"/>
    <w:rsid w:val="00C72C3F"/>
    <w:rsid w:val="00C7721A"/>
    <w:rsid w:val="00C95622"/>
    <w:rsid w:val="00CA123B"/>
    <w:rsid w:val="00CA5141"/>
    <w:rsid w:val="00CA5242"/>
    <w:rsid w:val="00CA5654"/>
    <w:rsid w:val="00CA75C6"/>
    <w:rsid w:val="00CB299D"/>
    <w:rsid w:val="00CB6117"/>
    <w:rsid w:val="00CB6E4C"/>
    <w:rsid w:val="00CC7BAC"/>
    <w:rsid w:val="00CD0616"/>
    <w:rsid w:val="00CD4051"/>
    <w:rsid w:val="00CE523A"/>
    <w:rsid w:val="00CE5500"/>
    <w:rsid w:val="00CE57F1"/>
    <w:rsid w:val="00CF46B1"/>
    <w:rsid w:val="00CF7C01"/>
    <w:rsid w:val="00D1397F"/>
    <w:rsid w:val="00D144E8"/>
    <w:rsid w:val="00D16745"/>
    <w:rsid w:val="00D21C43"/>
    <w:rsid w:val="00D24698"/>
    <w:rsid w:val="00D31031"/>
    <w:rsid w:val="00D361B2"/>
    <w:rsid w:val="00D36A89"/>
    <w:rsid w:val="00D50D4B"/>
    <w:rsid w:val="00D5793C"/>
    <w:rsid w:val="00D57994"/>
    <w:rsid w:val="00D60F1D"/>
    <w:rsid w:val="00D6185B"/>
    <w:rsid w:val="00D7038F"/>
    <w:rsid w:val="00D742EF"/>
    <w:rsid w:val="00D74C21"/>
    <w:rsid w:val="00D82F66"/>
    <w:rsid w:val="00D85989"/>
    <w:rsid w:val="00D859DB"/>
    <w:rsid w:val="00D85D46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4F16"/>
    <w:rsid w:val="00DD6AF8"/>
    <w:rsid w:val="00DD7F2A"/>
    <w:rsid w:val="00DE0246"/>
    <w:rsid w:val="00DE0C6D"/>
    <w:rsid w:val="00DE2CA1"/>
    <w:rsid w:val="00DE4CB8"/>
    <w:rsid w:val="00DE55B6"/>
    <w:rsid w:val="00DE5619"/>
    <w:rsid w:val="00DF09FC"/>
    <w:rsid w:val="00DF16DD"/>
    <w:rsid w:val="00DF4B13"/>
    <w:rsid w:val="00DF6FC5"/>
    <w:rsid w:val="00E001DD"/>
    <w:rsid w:val="00E013D5"/>
    <w:rsid w:val="00E01E9D"/>
    <w:rsid w:val="00E02E64"/>
    <w:rsid w:val="00E032F3"/>
    <w:rsid w:val="00E24298"/>
    <w:rsid w:val="00E26F41"/>
    <w:rsid w:val="00E32F6A"/>
    <w:rsid w:val="00E35762"/>
    <w:rsid w:val="00E41679"/>
    <w:rsid w:val="00E43968"/>
    <w:rsid w:val="00E46492"/>
    <w:rsid w:val="00E46554"/>
    <w:rsid w:val="00E53B03"/>
    <w:rsid w:val="00E600FD"/>
    <w:rsid w:val="00E6398F"/>
    <w:rsid w:val="00E67775"/>
    <w:rsid w:val="00E7040C"/>
    <w:rsid w:val="00E745AD"/>
    <w:rsid w:val="00E76775"/>
    <w:rsid w:val="00E769DF"/>
    <w:rsid w:val="00E91B7E"/>
    <w:rsid w:val="00E91D38"/>
    <w:rsid w:val="00E94F76"/>
    <w:rsid w:val="00E97439"/>
    <w:rsid w:val="00EA12A9"/>
    <w:rsid w:val="00EA3212"/>
    <w:rsid w:val="00EA3F8A"/>
    <w:rsid w:val="00EC2365"/>
    <w:rsid w:val="00EC29BA"/>
    <w:rsid w:val="00ED10ED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4EEB"/>
    <w:rsid w:val="00F470F7"/>
    <w:rsid w:val="00F50CC4"/>
    <w:rsid w:val="00F53506"/>
    <w:rsid w:val="00F55749"/>
    <w:rsid w:val="00F67F8A"/>
    <w:rsid w:val="00F71CB9"/>
    <w:rsid w:val="00F74814"/>
    <w:rsid w:val="00F87296"/>
    <w:rsid w:val="00F90F4D"/>
    <w:rsid w:val="00F915AE"/>
    <w:rsid w:val="00F954C6"/>
    <w:rsid w:val="00F96F49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E4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uiPriority w:val="99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uiPriority w:val="59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CD0616"/>
    <w:rPr>
      <w:sz w:val="28"/>
      <w:szCs w:val="24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uiPriority w:val="22"/>
    <w:qFormat/>
    <w:rsid w:val="00F10600"/>
    <w:rPr>
      <w:rFonts w:cs="Times New Roman"/>
      <w:b/>
      <w:bCs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paragraph" w:styleId="af5">
    <w:name w:val="footer"/>
    <w:basedOn w:val="a"/>
    <w:link w:val="af6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8140A"/>
    <w:rPr>
      <w:sz w:val="24"/>
      <w:szCs w:val="24"/>
    </w:rPr>
  </w:style>
  <w:style w:type="paragraph" w:customStyle="1" w:styleId="10">
    <w:name w:val="Знак Знак Знак1"/>
    <w:basedOn w:val="a"/>
    <w:rsid w:val="00CD06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061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CD0616"/>
  </w:style>
  <w:style w:type="character" w:customStyle="1" w:styleId="apple-style-span">
    <w:name w:val="apple-style-span"/>
    <w:basedOn w:val="a0"/>
    <w:rsid w:val="00CD0616"/>
  </w:style>
  <w:style w:type="paragraph" w:customStyle="1" w:styleId="11">
    <w:name w:val="Абзац списка1"/>
    <w:basedOn w:val="a"/>
    <w:rsid w:val="00CD0616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CD0616"/>
    <w:pPr>
      <w:spacing w:before="100" w:beforeAutospacing="1" w:after="100" w:afterAutospacing="1"/>
    </w:pPr>
  </w:style>
  <w:style w:type="paragraph" w:customStyle="1" w:styleId="25">
    <w:name w:val="Абзац списка2"/>
    <w:basedOn w:val="a"/>
    <w:rsid w:val="00AF64EA"/>
    <w:pPr>
      <w:ind w:left="720"/>
    </w:pPr>
    <w:rPr>
      <w:rFonts w:ascii="Calibri" w:hAnsi="Calibri"/>
      <w:sz w:val="28"/>
      <w:szCs w:val="28"/>
    </w:rPr>
  </w:style>
  <w:style w:type="character" w:customStyle="1" w:styleId="highlight">
    <w:name w:val="highlight"/>
    <w:basedOn w:val="a0"/>
    <w:rsid w:val="00AF64EA"/>
  </w:style>
  <w:style w:type="paragraph" w:customStyle="1" w:styleId="ConsTitle">
    <w:name w:val="ConsTitle"/>
    <w:rsid w:val="000C58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rmal (Web)"/>
    <w:basedOn w:val="a"/>
    <w:uiPriority w:val="99"/>
    <w:unhideWhenUsed/>
    <w:rsid w:val="00921B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3421-E9FD-40A2-85D4-766662E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15771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RePack by SPecialiST</cp:lastModifiedBy>
  <cp:revision>31</cp:revision>
  <cp:lastPrinted>2018-04-16T04:42:00Z</cp:lastPrinted>
  <dcterms:created xsi:type="dcterms:W3CDTF">2017-04-27T00:05:00Z</dcterms:created>
  <dcterms:modified xsi:type="dcterms:W3CDTF">2018-11-07T06:06:00Z</dcterms:modified>
</cp:coreProperties>
</file>